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pPr>
        <w:numPr>
          <w:ilvl w:val="0"/>
          <w:numId w:val="0"/>
        </w:numPr>
        <w:jc w:val="center"/>
        <w:rPr>
          <w:rFonts w:hint="eastAsia"/>
          <w:b/>
          <w:bCs/>
          <w:sz w:val="44"/>
          <w:szCs w:val="44"/>
          <w:lang w:val="en-US" w:eastAsia="zh-CN"/>
        </w:rPr>
      </w:pPr>
    </w:p>
    <w:p>
      <w:pPr>
        <w:numPr>
          <w:ilvl w:val="0"/>
          <w:numId w:val="0"/>
        </w:numPr>
        <w:jc w:val="center"/>
        <w:rPr>
          <w:rFonts w:hint="eastAsia"/>
          <w:b/>
          <w:bCs/>
          <w:sz w:val="44"/>
          <w:szCs w:val="44"/>
          <w:lang w:val="en-US" w:eastAsia="zh-CN"/>
        </w:rPr>
      </w:pPr>
    </w:p>
    <w:p>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ind w:firstLine="4200" w:firstLineChars="1500"/>
        <w:rPr>
          <w:rFonts w:hint="eastAsia"/>
          <w:b w:val="0"/>
          <w:bCs w:val="0"/>
          <w:sz w:val="28"/>
          <w:szCs w:val="28"/>
          <w:lang w:val="en-US" w:eastAsia="zh-CN"/>
        </w:rPr>
      </w:pPr>
    </w:p>
    <w:p>
      <w:pPr>
        <w:numPr>
          <w:ilvl w:val="0"/>
          <w:numId w:val="0"/>
        </w:numPr>
        <w:jc w:val="center"/>
        <w:rPr>
          <w:rFonts w:hint="eastAsia"/>
          <w:b/>
          <w:bCs/>
          <w:sz w:val="36"/>
          <w:szCs w:val="36"/>
          <w:lang w:val="en-US" w:eastAsia="zh-CN"/>
        </w:rPr>
      </w:pPr>
      <w:r>
        <w:rPr>
          <w:rFonts w:hint="eastAsia"/>
          <w:b/>
          <w:bCs/>
          <w:sz w:val="36"/>
          <w:szCs w:val="36"/>
          <w:lang w:val="en-US" w:eastAsia="zh-CN"/>
        </w:rPr>
        <w:t>医技预约平台系统项目（二次）</w:t>
      </w:r>
    </w:p>
    <w:p>
      <w:pPr>
        <w:numPr>
          <w:ilvl w:val="0"/>
          <w:numId w:val="0"/>
        </w:numPr>
        <w:jc w:val="center"/>
        <w:rPr>
          <w:rFonts w:hint="default"/>
          <w:b/>
          <w:bCs/>
          <w:sz w:val="36"/>
          <w:szCs w:val="36"/>
          <w:lang w:val="en-US" w:eastAsia="zh-CN"/>
        </w:rPr>
      </w:pPr>
      <w:r>
        <w:rPr>
          <w:rFonts w:hint="eastAsia"/>
          <w:b/>
          <w:bCs/>
          <w:sz w:val="36"/>
          <w:szCs w:val="36"/>
          <w:lang w:val="en-US" w:eastAsia="zh-CN"/>
        </w:rPr>
        <w:t>2024年6月24日</w:t>
      </w:r>
    </w:p>
    <w:p>
      <w:pPr>
        <w:numPr>
          <w:ilvl w:val="0"/>
          <w:numId w:val="0"/>
        </w:numPr>
        <w:rPr>
          <w:rFonts w:hint="default"/>
          <w:b/>
          <w:bCs/>
          <w:sz w:val="28"/>
          <w:szCs w:val="28"/>
          <w:lang w:val="en-US" w:eastAsia="zh-CN"/>
        </w:rPr>
      </w:pPr>
      <w:r>
        <w:rPr>
          <w:rFonts w:hint="eastAsia"/>
          <w:b/>
          <w:bCs/>
          <w:sz w:val="28"/>
          <w:szCs w:val="28"/>
          <w:lang w:val="en-US" w:eastAsia="zh-CN"/>
        </w:rPr>
        <w:t xml:space="preserve">  </w:t>
      </w:r>
    </w:p>
    <w:p>
      <w:pPr>
        <w:numPr>
          <w:ilvl w:val="0"/>
          <w:numId w:val="0"/>
        </w:numPr>
        <w:spacing w:line="360" w:lineRule="auto"/>
        <w:jc w:val="left"/>
        <w:rPr>
          <w:rFonts w:hint="eastAsia" w:hAnsi="宋体"/>
          <w:sz w:val="24"/>
          <w:szCs w:val="24"/>
        </w:rPr>
      </w:pPr>
    </w:p>
    <w:p>
      <w:pPr>
        <w:numPr>
          <w:ilvl w:val="0"/>
          <w:numId w:val="0"/>
        </w:numPr>
        <w:spacing w:line="360" w:lineRule="auto"/>
        <w:jc w:val="left"/>
        <w:rPr>
          <w:rFonts w:hint="eastAsia" w:hAnsi="宋体"/>
          <w:sz w:val="24"/>
          <w:szCs w:val="24"/>
          <w:lang w:val="en-US" w:eastAsia="zh-CN"/>
        </w:rPr>
      </w:pPr>
    </w:p>
    <w:p>
      <w:pPr>
        <w:numPr>
          <w:ilvl w:val="0"/>
          <w:numId w:val="0"/>
        </w:numPr>
        <w:spacing w:line="360" w:lineRule="auto"/>
        <w:jc w:val="left"/>
        <w:rPr>
          <w:rFonts w:hint="eastAsia" w:hAnsi="宋体"/>
          <w:sz w:val="24"/>
          <w:szCs w:val="24"/>
          <w:lang w:val="en-US" w:eastAsia="zh-CN"/>
        </w:rPr>
      </w:pPr>
    </w:p>
    <w:p>
      <w:pPr>
        <w:numPr>
          <w:ilvl w:val="0"/>
          <w:numId w:val="0"/>
        </w:numPr>
        <w:spacing w:line="360" w:lineRule="auto"/>
        <w:jc w:val="left"/>
        <w:rPr>
          <w:rFonts w:hint="eastAsia" w:hAnsi="宋体"/>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100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2040"/>
        <w:gridCol w:w="1395"/>
        <w:gridCol w:w="1365"/>
        <w:gridCol w:w="1716"/>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734"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040"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1395"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1365"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716"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预算单价</w:t>
            </w:r>
          </w:p>
        </w:tc>
        <w:tc>
          <w:tcPr>
            <w:tcW w:w="1771"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734"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p>
        </w:tc>
        <w:tc>
          <w:tcPr>
            <w:tcW w:w="2040" w:type="dxa"/>
            <w:vAlign w:val="center"/>
          </w:tcPr>
          <w:p>
            <w:pPr>
              <w:keepNext w:val="0"/>
              <w:keepLines w:val="0"/>
              <w:suppressLineNumbers w:val="0"/>
              <w:spacing w:before="0" w:beforeAutospacing="0" w:after="0" w:afterAutospacing="0"/>
              <w:ind w:left="0" w:right="0"/>
              <w:rPr>
                <w:rFonts w:hint="default" w:ascii="宋体" w:hAnsi="宋体" w:eastAsia="宋体" w:cs="宋体"/>
                <w:lang w:val="en-US" w:eastAsia="zh-CN"/>
              </w:rPr>
            </w:pPr>
            <w:r>
              <w:rPr>
                <w:rFonts w:hint="eastAsia" w:ascii="宋体" w:hAnsi="宋体" w:eastAsia="宋体" w:cs="宋体"/>
                <w:lang w:val="en-US" w:eastAsia="zh-CN"/>
              </w:rPr>
              <w:t>医技预约平台系统</w:t>
            </w:r>
            <w:bookmarkStart w:id="1" w:name="_GoBack"/>
            <w:bookmarkEnd w:id="1"/>
          </w:p>
        </w:tc>
        <w:tc>
          <w:tcPr>
            <w:tcW w:w="1395" w:type="dxa"/>
            <w:vAlign w:val="center"/>
          </w:tcPr>
          <w:p>
            <w:pPr>
              <w:keepNext w:val="0"/>
              <w:keepLines w:val="0"/>
              <w:suppressLineNumbers w:val="0"/>
              <w:spacing w:before="0" w:beforeAutospacing="0" w:after="0" w:afterAutospacing="0"/>
              <w:ind w:left="0" w:right="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65" w:type="dxa"/>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16" w:type="dxa"/>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790000</w:t>
            </w:r>
          </w:p>
        </w:tc>
        <w:tc>
          <w:tcPr>
            <w:tcW w:w="1771" w:type="dxa"/>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790000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734"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6516" w:type="dxa"/>
            <w:gridSpan w:val="4"/>
            <w:vAlign w:val="center"/>
          </w:tcPr>
          <w:p>
            <w:pPr>
              <w:keepNext w:val="0"/>
              <w:keepLines w:val="0"/>
              <w:suppressLineNumbers w:val="0"/>
              <w:spacing w:before="0" w:beforeAutospacing="0" w:after="0" w:afterAutospacing="0"/>
              <w:ind w:left="0" w:right="0"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771" w:type="dxa"/>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734"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p>
        </w:tc>
        <w:tc>
          <w:tcPr>
            <w:tcW w:w="2040"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交付使用时间</w:t>
            </w:r>
          </w:p>
        </w:tc>
        <w:tc>
          <w:tcPr>
            <w:tcW w:w="6247" w:type="dxa"/>
            <w:gridSpan w:val="4"/>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6个月</w:t>
            </w:r>
            <w:r>
              <w:rPr>
                <w:rFonts w:hint="eastAsia" w:ascii="宋体" w:hAnsi="宋体" w:eastAsia="宋体" w:cs="宋体"/>
                <w:sz w:val="24"/>
                <w:szCs w:val="24"/>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734"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w:t>
            </w:r>
          </w:p>
        </w:tc>
        <w:tc>
          <w:tcPr>
            <w:tcW w:w="2040"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质保期</w:t>
            </w:r>
          </w:p>
        </w:tc>
        <w:tc>
          <w:tcPr>
            <w:tcW w:w="6247" w:type="dxa"/>
            <w:gridSpan w:val="4"/>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验收合格之日算起</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734"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w:t>
            </w:r>
          </w:p>
        </w:tc>
        <w:tc>
          <w:tcPr>
            <w:tcW w:w="2040"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付款方式</w:t>
            </w:r>
          </w:p>
        </w:tc>
        <w:tc>
          <w:tcPr>
            <w:tcW w:w="6247" w:type="dxa"/>
            <w:gridSpan w:val="4"/>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合同签订后付30%，项目验收合格后付60%，验收通过一年后支付剩余</w:t>
            </w: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734"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w:t>
            </w:r>
          </w:p>
        </w:tc>
        <w:tc>
          <w:tcPr>
            <w:tcW w:w="2040"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交付地点</w:t>
            </w:r>
          </w:p>
        </w:tc>
        <w:tc>
          <w:tcPr>
            <w:tcW w:w="6247" w:type="dxa"/>
            <w:gridSpan w:val="4"/>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采购人指定地点</w:t>
            </w:r>
          </w:p>
        </w:tc>
      </w:tr>
    </w:tbl>
    <w:p>
      <w:pPr>
        <w:rPr>
          <w:rFonts w:hint="eastAsia" w:hAnsi="宋体"/>
          <w:sz w:val="24"/>
          <w:szCs w:val="24"/>
        </w:rPr>
      </w:pPr>
    </w:p>
    <w:p>
      <w:pPr>
        <w:pStyle w:val="4"/>
        <w:rPr>
          <w:rFonts w:hint="default" w:hAnsi="宋体" w:eastAsia="微软雅黑"/>
          <w:sz w:val="24"/>
          <w:szCs w:val="24"/>
          <w:lang w:val="en-US" w:eastAsia="zh-CN"/>
        </w:rPr>
      </w:pPr>
      <w:r>
        <w:rPr>
          <w:rFonts w:hint="eastAsia" w:hAnsi="宋体"/>
          <w:sz w:val="24"/>
          <w:szCs w:val="24"/>
          <w:lang w:val="en-US" w:eastAsia="zh-CN"/>
        </w:rPr>
        <w:t>二、技术要求</w:t>
      </w:r>
    </w:p>
    <w:tbl>
      <w:tblPr>
        <w:tblStyle w:val="13"/>
        <w:tblpPr w:leftFromText="180" w:rightFromText="180" w:vertAnchor="text" w:horzAnchor="page" w:tblpX="1498" w:tblpY="925"/>
        <w:tblOverlap w:val="never"/>
        <w:tblW w:w="9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960"/>
        <w:gridCol w:w="7781"/>
      </w:tblGrid>
      <w:tr>
        <w:tblPrEx>
          <w:shd w:val="clear" w:color="auto" w:fill="auto"/>
          <w:tblCellMar>
            <w:top w:w="0" w:type="dxa"/>
            <w:left w:w="108" w:type="dxa"/>
            <w:bottom w:w="0" w:type="dxa"/>
            <w:right w:w="108" w:type="dxa"/>
          </w:tblCellMar>
        </w:tblPrEx>
        <w:trPr>
          <w:trHeight w:val="680" w:hRule="atLeast"/>
        </w:trPr>
        <w:tc>
          <w:tcPr>
            <w:tcW w:w="959"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参数性质</w:t>
            </w:r>
          </w:p>
        </w:tc>
        <w:tc>
          <w:tcPr>
            <w:tcW w:w="9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778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技术参数和性能指标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项目总体建设要求（参数2至10）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通过建立全院统一预约平台，将医技科室和检验、床位和一些小微科室分散的检查设备和床位资源由原来的碎片化的管理，实现统筹化预约管理。削峰平谷、合理有序。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立全院统一预约平台，能根据医技检查和小微科室和检验、床位规则知识库，统筹患者的一项或多项检查、床位进行智能化处理医技检查医嘱的合并打包，分发，实现检查、床位智能化分时段预约排程。能通过自助机，移动端即时告知预约信息，检查注意、住院注意事项。提高检查效率、床位使用效率和周转率，提高患者与医护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通过建立全院统一预约平台，做到检查、检验、床位、治疗的预约排程的预约周期管理，可视化管理，医技、检验、床位、治疗状态的交互确认和结果的共享。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建立建立全院统一预约平台应遵循HL7标准、遵从XDS、XDS-I标准、遵从IHE规范；系统集成要求使用MQ/HL7/Webservice。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安全性要求，系统设计充分考虑授权管理、访问控制、数据灾备等安全性要求，确保系统运行稳定，并保护个人隐私。系统应有严格的安全和保密手段，确保系统本身和应用内各种数据的安全性和保密性。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稳定性，系统应使用技术成熟、稳定的开发平台，各项应用确保具备在较长时间内连续无故障的运行能力。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扩展性，系统需充分考虑到系统的可扩展性，未来平台的扩展只须在现有机制的基础上，增加新的应用与服务模块，能够平滑过渡而不影响用户的使用。系统采用先进、成熟的技术设计，充分考虑系统升级、扩容、扩充和维护的可行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放性与灵活性，系统应具备良好的开放性，能够提供标准的开放接口与当前在用系统及后期上线的相关系统进行无缝集成，实现与各类应用系统的数据互传应用。能实现指标、报表、公式、流程等的灵活设置，以满足复杂多变的业务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保密性，系统必须要有较高的保密性，不允许以任何方式存取医院业务系统数据，不得将数据作为介绍产品的示例或挪作其它用途。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系统建设标准和医院的整体信息化建设互联互通要求（参数12至18）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参照《国家信息化发展战略纲要》、《“十三五”国家信息化规划》和《国家标准化体系建设发展规划（2016—2020年）》、（GB/T22239-2008）中相关要求执行。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要求严格执行国家有关软件工程的标准，要求符合卫生部的《医院信息系统基本功能规范》的要求：卫生部《健康档案基本架构与数据标准》；卫生部《电子病历基本架构与数据标准》；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软件产品及接口的数据编码采用国际、国家现阶段标准规范，遵循国际、国内相关标准：HL7、DICOM、ICD-9/10、IHE-C、XML、JSON等。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IT技术标准：HTTP/HTTPS、WEBSERVICES、SOAP、XML等。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医院整体信息化建设对系统互联互通要求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应提供医技检查、检验、床位预约接口标准与第三方系统进行集成实现数据和信息的互联互通，如互联网医院或者微信公众号、医院自助机系统、医院后勤转运系统、及必要的HIS医生站系统、HIS护士站系统、治疗系统、护理系统、床位管理系统和医院的管理运营系统等第三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集成平台或者通过其他集成方式提供给其他第三方系统如互联网医院或者微信公众号、医院自助机系统、医院后勤转运系统、及必要的HIS医生站系统、HIS护士站系统、治疗系统、护理系统、床位管理系统和医院的管理运营系统等第三方系统，满足医院电子病历评级、互联互通评审、智慧医院等级评审中对检查预约的分时段要求和对医技检查、床位预约的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全院统一预约平台架构及性能要求（参数20至32）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系统稳定性要求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系统能够满足7*24不间断稳定运行。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系统并发用户数要在200用户以上。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系统响应时间要求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系统交互性操作平均响应时间不超过5秒，交互性操作最大响应时间不超过10秒，内容最大响应时间不超过20秒。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系统安全性要求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系统应有严格的安全和保密手段，确保系统本身和系统内各种数据的安全性和保密性。如果出现平台运行异常，平台前端操作页面应当有相应人性化的故障处理提示，不能出现原始错误代码。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系统提供完善的日志功能，能够记录系统使用人员的关键操作，保证系统应用的安全。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系统需要保证数据在传输过程中的安全与稳定。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可扩展及兼容性要求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系统支持可扩展的客户化定制开发，平台具有高效的平台业务逻辑扩展。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系统具有完善的安全权限分配体系。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全院统一预约平台建设要求（参数34至41）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系统建设范围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涉及的组织范围限定于医院及分院区医技检查科室（包括放射科、超声科、心电图室、内镜室等医技科室和小微医技科室）、小微科室及门诊、住院等相关使用科室、预住院管理中心、病区床位管理、以及相关管理、运维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范围涵盖医院在用HIS系统内医生站、护士站关于医技检查、住院申请单等业务数据，系统中检查、检验、住院管理知识库规则、预约信息、可用资源等数据，自助机、移动端的预约信息数据，以及医技系统、住院病区床位管理和小微科室系统，关于检查、住院预约内容等数据，并包含不同系统间的数据传输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范围包括医生在门诊、住院或体检时开具医技检查、住院申请单，由医技检查、住院病区护士审核并执行申请单，患者缴费系统设置预约规则，录入或接收预约申请，智能化生成预约信息，患者接收预约消息提醒，由患者或者护士打印预约凭条自助签到进行检查到检、进行排程确认、床位申请使用确认，实现医技检查、住院申请智能化预约模式的一体化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系统建设内容主要包括：预约规则知识库、基础数据维护、医技检查预约管理、检验预约管理、治疗预约管理、床位预约管理等，统计分析、智能消息提醒、自助手工签到或者确认、系统管理及系统接口等。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预约规则知识库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用来设置需要使用的医技检查、检验、住院申请等预约规则信息，如时间最优、项目优先、项目互斥、项目合并等规则，具体规则应以医院医技检查科室、床位分配实际业务情况为准来进行设计，在保证医技检查科室、床位分配项目顺序、时间不冲突的前提下，以最优化时间安排智能化得出医技检查、床位安排结果，并可根据特殊情况如急诊抢救、设备故障等进行人工指定合适的预约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医技预约系统功能模块要求（参数43至185）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医技预约系统基础数据维护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医技检查资源号池信息管理与设置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系统支持设置平台可以支持预约的号池数量设置，把一天分割为多个时间段，并以时间段为单位控制每个时间段可以预约的数量。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系统支持方便查看每天排班智能化产生的预约号源。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系统支持方便对每个号源可进行临时停检或预约渠道限制等操作。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系统支持按照预约规则对不同检查项目的检查权重而不是按照固定检查数量进行精准预约到时间点或者连续的时间片资源池内完成智能化预约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医技检查项目管理与设置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系统支持将检查项目与HIS或者集成平台接口获取的检查项目进行一一对应，实现与HIS检查项目的关联，并可在预约平台内对检查项目的预约相关信息进行完善。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系统支持项目规则配置管理，支持相同规则和不同的规则和时间、年龄、状态、来源等的检查明细项和特殊要求项可进行智能化合并打包、智能化容斥、智能化拆分预约处理。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医技预约资源管理与设置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系统支持医技科室管理，在维护医技资源之前需要维护医技科室资源。支持检查室或检查设备的维护管理。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系统支持检查部位和检查项目的维护管理，指定特殊检查项目必须指定特殊检查设备和特殊检查时间段或者时间点预约。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系统支持检查时间的维护管理，按照检查项目要求、按照星期、按照复查、按照节假日、按照其他有固定时间的周期要求的项目进行预约。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医技预约系统检查预约管理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系统支持医技检查预约业务包括住院预约、特殊预约、医技预约的改约、医技预约到检、预约取消及退费等业务处理。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门诊医技检查预约管理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系统支持门诊医生根据患者情况开具医技检查项目，在患者完成缴费的情况下，系统能够根据检查项目的需求、检查资源情况、患者已有的检查预约信息进行计算，智能化进行预约安排。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住院医技检查预约管理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系统支持由医生主动进行住院预约，医生在住院医生站中开具检查申请单，护士审核并执行医嘱后，系统能智能化获取当前住院患者的检查预约项目申请单信息，并进行预约安排。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系统支持同时能根据医生医嘱要求，进行特殊预约或者尽可能按要求处理。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特殊医技检查预约管理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系统支持对于需要执行紧急抢救等情况使用特殊预约功能。检查科室无需事先从HIS接口获取患者检查预约信息，直接在系统选择检查项目并手工登记患者基本信息进行预约。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系统支持对于需要执检查前评估等情况使用特殊查前评估再预约处理功能。例如无痛胃肠镜检查，需要做麻醉术前评估，部分住院患者对有创的检查可能还要做服用抗凝药物的评估后才能预约。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医技预约的改约处理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对于所有未过期的预约，根据患者相关信息，查询出患者需要改约的检查项目，同时展示一周以内的可以预约的号源数量和每天每个时间段可预约数量，由集中预约中心服务人员或者医技登记台护士或者由诊间医生对预约进行修改，或由患者在自助机、移动端自行选择可约的时间进行重新预约，预约完成后向手机移动端通过短信、或者微信推送预约改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医技预约到检处理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患者预约成功后，可通过集中预约中心服务人员或者医技登记台护士、自助机系统打印预约信息，包含个人信息、预约信息、注意事项等，在导检单指定时间来医院进行签到就诊，通过登记台或自助签到机进行到检，然后进入排队叫号序列，等候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医技预约取消及退费处理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系统支持对于尚未进行到检的患者，在指定时间内允许患者在集中预约中心或者医技登记台取消预约，取消预约后智能化释放医技检查号源，腾出的号源可供其他患者进行预约。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系统支持对于已缴费的门诊患者，在未进行签到前，如果在集中预约中心或者医技登记台取消预约，则支持通过调用HIS接口进行智能化退费申请处理，已进行签到的不允许退费，只能通过收费窗口进行退费操作。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医技预约统计报表分析与工作看板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系统支持预约情况统计查询，可查看每天、每周、每月每个检查项的可预约数、已预约数、已检查数、开单检查比、开单预约比、预约到检比、预约率、爽约率、阳性率（需要医技反馈诊断符合率）等信息。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系统支持检查周期平均耗时的统计，每月每个检查项目从开单至预约、预约至检查、检查至出报告等每个环节平均耗时的统计查询。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系统支持医院实际业务所需的各类统计报表和各种医技资源检查使用和预约和到检以及预约周期管理的各种工作看板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医技预约智能消息提醒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全院级医技智能化预约平台系统支持支持通过微信或短信等方式发送消息提醒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系统支持检查项目预约完成后给患者发送一个包含处理情况以及注意事项的消息通知，方便患者了解检查时间、检查科室、注意事项等。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系统支持检查项目改约完成后给患者发送一个包含处理情况以及注意事项的消息通知，方便患者了解检查时间、检查科室、注意事项等。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系统支持检查项目预约取消完成后给患者发送一个包含处理情况以及注意事项的消息通知，方便患者了解检查时间、检查科室、注意事项等。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医技预约自助签到机配置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助终端设备，具备触控一体屏幕、多功能读卡器，支持身份证、社保卡、医保卡等患者常用诊疗ID的读取，支持一维条形码、二维码扫描功能，支持凭条打印、自助查询、支持预约查询、预约改约、预约到检等功能实现，具体以医院实际需求和系统接口需要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系统支持提供各种系统基础信息的维护及日志查询功能。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系统支持提供用户管理、角色设置等功能。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系统支持提供智能化记录用户对系统的操作情况，包括操作人员、时间、操作记录等信息。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系统支持提供对第三方系统的安全授权与认证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系统支持提供预约系统接口标准进行查询和推送预约结果给第三方系统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系统支持提供预约系统接口标准与第三方系统进行集成，如微信公众号、自助机系统、后勤转运系统、及必要的HIS医生站系统、HIS护士站系统、治疗系统、护理系统等第三方系统，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系统支持提供通过集成平台提供给其他医技系统满足电子病历评级中对检查预约的分时段要求和互联互通评审中的要求和智慧医院等级评审中对医技检查预约的要求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医技检查医嘱批量接收，自动或人工预约分发与路由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系统支持由HIS系统或者集成平台或HIS系统直接推送智能化获取医嘱信息，获取电子申请单；（需要提供截图证明）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系统支持根据申请单检查项目等信息进行智能化预约；支持将获取的电子申请单医嘱向各个医技系统进行定时智能分发；（需要提供截图证明）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系统支持通过控制分发时间，将预约单打包后分发到医技系统并预约至同一个半天同一个诊间；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系统支持医技系统获取电子申请单后向预约平台反馈即时检查状态；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系统支持获取医技系统的订阅电子申请单并检查后分析医技科室整体检查的检查趋势和动态。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医技预约系统检查预约管理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系统支持对预约平台系统进行管理，用于日常对预约规则的维护，对检查项目、检查队列、检查量的控制，对患者预约的管理。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系统支持队列、时段、限制人数等通用字典信息的设置；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系统支持基于申请单检查项目或权重系数的号源数量设置；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系统支持动态查看可预约号源情况和目前已预约人数情况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系统支持基于当前预约结果动态调整检查可约号源，支持临时放号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系统支持可查看指定检查队列指定期限内号源和预约情况、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系统支持可查看指定检查室指定期限内号源和预约情况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系统支持预约操作日志与号源操作日志的记录与查看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系统支持基于院区、申请科室、来源、医技科室的爽约率统计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系统支持检查室、检查队列动态的启用和停用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系统支持检查时段的启用和停用；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系统支持星期、日期、时段、节假日等时间规则管理；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系统支持检查项目规则（项目互斥冲突、目预约先后顺序、项目优先级等）管理；（需要提供截图证明）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系统支持限制检查项目预约方式的管理；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系统支持无痛、增强等特殊检查条件检查项目的线上评估功能，线上评估通过后，智能化进行预约和排程。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系统支持申请科室、患者来源规则设置；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系统支持预约院区、时间、检查项目显示管理配置。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系统支持从开单系统获取电子检查申请单信息。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医技预约系统门诊患者检查预约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系统支持根据不同检查室设置不同号源，号源有独立的权限设置；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系统支持根据病人名称、登记号、就诊卡号等信息查询病人，支持模糊查询，查询病人信息和未执行医嘱项目，显示可预约的时间表，进行实时预约；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系统支持根据预约号、项目名称、姓名等查询条件，查询患者预约项目，可手动取消预约项目；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系统支持自助预约系统进行预约，支持患者通过自助预约系统进行多医嘱（同科室）、不同医嘱（不同科室）同时进行预约；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系统支持分时段预约，患者按照时间段到检，能够约到预约时段内最短的时间；（需要提供截图证明）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系统支持提前做了检查的病人的号源可以智能化释放。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医技预约系统住院患者检查预约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通过住院护士工作站自助预约系统根据病区、住院号、病人名称、登记号号、卡号等信息查询病人，实现模糊查询，查询后病人信息和未执行医嘱项目，显示可预约的时间表，进行实时预约；通过自助预约系统根据预约号、项目名称、病人姓名等查询条件，查询病人预约项目，可取消预约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系统支持可通过住院护士工作站自助预约系统提供预约项目预约单补打功能；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系统支持可通过住院护士工作站进行多医嘱（同科室）同时进行智能化预约；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系统支持可通过对住院患者特殊预约检查项目进行线上评估审核确认后智能化预约；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系统支持通过对各医技统一视图，直接在各病区护士工作站进行退费，退费时验证医技系统中的状态。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系统支持能及时了解和查看有多个检查单病人的检查顺序，多个检查之间要有合理的时间差，能了解和查看病人预约、登记、检查轨迹。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系统支持住院医生能查到所管病人的检查进度信息，医护能在第一时间在系统中看到预约状况。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医技预约系统与自助机、微信、短信、互联网医院系统集成；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系统支持与医院自助机系统进行集成配置，实现患者智能化获取医嘱的智能化预约凭条及患者智能化获取医嘱的智能化预约的到检凭条；（需要提供截图证明）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系统支持与医院微信平台系统进行集成配置，实现患者智能化获取医嘱的结算信息、预约信息、到检信息；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系统支持与互联网医院系统进行集成配置，实现患者智能化获取医嘱的结算信息、预约信息、到检信息及智能化获取诊断报告信息。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系统支持当天医技预约信息可以由系统通过微信，互联网医院,短信实时提供给所需要科室和主任显示和浏览；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医技预约系统与自助机及移动端预约操作功能集成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系统支持通过操作扫描自助机条型码、二维码扫描输入、键盘输入、就诊卡、医保卡输入进行预约操作等；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系统支持通过自助机预约直观的日历选择预约日期、时段功能进行预约；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系统支持通过自助机预约根据检查申请单智能化计算并推荐最优检查方案；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系统支持通过自助机预约根据检查申请单智能化计算并分配最适合的检查队列；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系统支持通过自助机预约模块修改预约及取消预约；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系统支持通过自助机预约模块申请单智能合并进行预约；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系统支持通过自助机预约模块预约成功打印小票以及补打功能；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系统支持通过自助机预约模块将预约结果反馈给医院相关系统；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系统支持通过自助机预约模块将预约结果反馈给医技排队叫号或者到检系统。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系统支持通过自助机预约模块实现自助机、微信、互联网医院扫描条码预约改约和到检操作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系统支持通过移动端基于推荐方案实现一键预约；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系统支持通过移动端电子申请单智能合并进行预约；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系统支持与医院现有微信公众号、微信小程序、互联网医院的整合；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系统支持预约详情以及注意事项信息的展示以及信息推送。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医技预约系统查询与统计分析和工作看板；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系统支持根据检查时段信息查询可预约资源，查询预约人数；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系统支持可根据医技系统检查完成情况设备利用率统计；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系统支持可查询获取医技系统的排班信息、设备信息、检查室信息、检查时段信息、检查项目信息；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系统支持可根据诊断符合率及阳性率统计为临床开单和医技质控提供数据；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系统支持可根据医技系统检查完成情况各种检查类型检查量分类统计；对医技科室总体收入统计，按天/月/年统计；并能生成平面直方图、二维及三维直方图及饼状图、折线图等统计图表；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根据开单情况、预约情况、到检情况、爽约情况、提前检查情况、预约号池情况、医技检查室情况、排队情况、预约周期情况、检查完成情况各种检查类型检查量分类统计；生成各种工作指标和看板并支持大屏幕输出和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系统支持提供自定义报表功能，系统提供完全开放的自定义报表设计器，医院维护人员能够在系统中自由地对报表打印单据的格式，内容进行调整、增加、权限分配，对决策分析所需求的报表。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医技预约系统配置和设置；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系统支持可以管理和配置各类检查预约项目、预约时间、预约规则的维护</w:t>
            </w:r>
            <w:r>
              <w:rPr>
                <w:rFonts w:hint="eastAsia" w:ascii="宋体" w:hAnsi="宋体" w:eastAsia="宋体" w:cs="宋体"/>
                <w:i w:val="0"/>
                <w:iCs w:val="0"/>
                <w:color w:val="F79646"/>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平台支持将检查项目归类分成各种子类，不同子类可以设置不同的预约时段（支持跨时间段）和预约数量；（需要提供截图证明）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系统支持可将项目关联到预约描述和检查注意事项维护；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系统支持可完成预约规则公式维护；（需要提供截图证明）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系统支持提供系统用户的维护功能；可将预约项目与预约规则公式关联；可提供系统工具条的配置功能；提供系统角色的功能；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系统支持提供系统菜单功能的自定义配置；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系统支持检查项目和预约规则并可完成校验项目规则配置；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医技预约系统预约规则引擎及预约规则知识库管理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系统支持用于科室日常对预约规则的维护，实现符合医技检查科室要求的预约业务逻辑。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系统支持根据不同来源、检查室、设备、专家设置号源，号源设置指定专人负责，登记人员和技术人员只能在已设定的基础上增加或号源。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系统支持根据申请单检查项目等信息进行智能化、手工预约，实现智能化和手动预约排程。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系统支持可以管理和配置各类检查预约项目、预约时间、预约规则的维护；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系统支持对检查类别、优先级别、申请科室、病人来源、性别、年龄、项目属性的检查要求预约规则进行设置和处理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系统支持智能自动合并预约、预约日期时段运算、检查队列（设备）选择、检查项目等规则引擎实现和预约规则知识库管理；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系统支持智能化自动预约、诊间医生站预约、集中预约、自助机及移动端预约、检查科室预约等模块核心服务的实现。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系统支持电子申请单的互斥规则自定义配置维护，不需要做开发，互斥后医嘱向各个医技系统实时智能分发。（需要提供截图证明）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系统支持不限于常规医技科室，支持其它科室及项目有电子申请单的智能化、人工预约和预约排程。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医技预约系统与各系统接口对接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系统支持HIS\集成平台\EMR、PACS其他医技系统及医技系统排队叫号等医院系统的对接；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系统支持自助机、微信、互联网医院等的集成接口对接；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系统支持基于预约系统接口标准推送预约结果给第三方系统；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系统对接短信发送平台发送检查预约相关短信；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系统对接微信平台发送检查预约相关消息。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系统支持集成HIS退费模块、医技统一视图，直接在预约平台系统发起退费申请操作。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系统集成接口支持主流HL7、MQ、WebserviceWebAPI+JSON等集成方式进行集成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系统支持提供Token+时间戳安全接口标准供访问和交互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床位预约系统功能模块要求（参数187至219）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床位预约系统总体要求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支持医院住院床位预约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支持医院住院床位预约设置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支持医院床位预约住院病区设置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支持医院床位预约住院病区床位设置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支持医院床位预约后住院报道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支持医院床位预约后转入实际住院处理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能够从HIS系统获得预住院患者ID和预住院申请ID、在预住院数据库中建立患者唯一ID和预住院ID，方便管理。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住院床位预约功能模块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支持住院部病区床位资源管理，包含床位数量设置，包含床位的时间有效期设置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支持住院部病区床位对应的科室、病区设置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支持住院部病区床位维护与设置（增加、删除（作废）、修改）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支持科室病区的床位资源查询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支持科室病区的床位状态查询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支持各种预住院患者类型的登记，并支持优先级设置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支持科室病区的床位预约到实际住院的时间间隔设置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支持科室病区的床位的资源回收和再次分配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支持床位按照科室、病区的查询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支持自动或者手动接收住院患者预住院申请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支持接收到预住院申请后，可以完成患者的床位分配预约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支持预住院患者从预约床位到实际住院床位确认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支持预住院床位分配规则维护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支持打印预住院床位预约凭条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支持自定义设置住院床位预约模板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住院床位预约系统查询统计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为医生提供方便的病例检索手段，提供按日期、按科室、按病区、按医生等条件确定或组合查询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科室、医生、病区、床位的业务量统计和所占百分比；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支持根据关键词模糊查询功能，并能支持与或非及数值型等字段的检索，并能查询到具体患者预住院预约记录和实际住院记录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系统支持当天床位预约信息可以由系统通过微信，APP,短信实时提供给所需要科室和主任显示和浏览；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系统支持根据病区床位信息查询可预约资源，查询预约人数；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系统支持可根据床位预约完成情况和床位利用率统计；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系统支持可根据床位完成情况各种住院患者分类统计；对病区科室床位总体收入统计，按天/月/年统计；并能生成平面直方图、二维及三维直方图及饼状图、折线图等统计图表；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系统支持提供自定义报表功能，系统提供完全开放的自定义报表设计器，医院维护人员能够在系统中自由地对报表打印单据的格式，内容进行调整、增加、权限分配，对决策分析所需求的报表。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检验预约系统功能模块要求（参数221至261）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拆单，针对需要执行多次的检验项目，能够以次为单位，自动拆成多张申请单。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检验预约，对未预约的单次检验申请单进行预约，精确到时间段，如多次检验的程疗预约。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改约，支持对已预约的单次检验申请单执行改约操作。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取消预约，支持对已预约的单次检验申请单执行取消预约操作。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打印，可打印已预约的单次检验申请单回执。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超前预约，可以将项目预约在没有进行排班的时间，生成拟预约记录。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智能预约，针对需要多次检验的项目，系统可根据规律利用第一次预约的时间自动计算出以后预约的时间。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申请单详情，支持查看院医生为患者开具的申请单详情。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未预约患者列表，医生HIS开单后，通过接口获取患者申请单信息，根据状态提供不同操作；两种视图展示：列表、详情。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已约患者列表，查看已预约的申请单详情。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取消预约列表，查看已取消的申请单详情，取消人、时间、原因、备注。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撤销取消，可对已取消的申请单进行撤销取消。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申请单查询，可查询患者的当前及历史所有申请单。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超前预约列表，支持查询并展示全院超前预约的申请单。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预约日志，申请单状态变化，打印的日志，记录操作人，操作时间。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短信记录，查看已发送的短信记录。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短信服务，支持进行短信模板配置，增删改查。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科室管理，支持对检验科室进行维护，增删改查。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班次管理，支持对检验科室的班次进行维护，增删改查。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诊区管理，支持对检验诊区进行维护，增删改查。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项目管理，支持对检验项目进行维护，能够对不同项目所消耗的资源（号量，时间）多少进行维护，增删改查。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项目组管理，将检验业务虚拟成检验组，可配置检验项目组的班次，预约方式等，增删改查。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号量设置，为每个项目组设置时段号量。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项目设置，为每个项目组设置关联项目。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宣教管理，支持对检验项目的注意事项进行维护，增删改查。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规则配置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医学规则配置，规则可应用到项目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病人特征配置，按检验要求、病症、特征应用项目，建立预约建议。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短信服务，支持进行短信模板配置，增删改查。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权限管理，支持为系统角色设置/修改权限，增删改查。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角色管理，支持维护系统中的角色，增删改查。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用户管理，支持维护系统用户，增删改查。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系统菜单，系统菜单，包括对系统功能菜单的“增删改查”功能，调整菜单级别关系。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系统配置，配置系统的基本参数信息。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申请单统计，统计系统中预约申请单的状态。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预约量统计，统计全院/各个科室/检验项目的预约量。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等待时间统计，统计各申请单的平均等待时间。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治疗及小微科室预约系统功能模块要求（参数263至275）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预约规则知识库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用来设置需要使用的治疗及小微科室的预约规则信息，如时间最优、项目优先、项目互斥、项目合并等规则，具体规则应以医院治疗科室、小微科室的实际业务情况为准来进行设计，在保证医技检查科室、床位分配等其他项目顺序、时间不冲突的前提下，以最优化时间安排智能化得出治疗及小微科室项目的安排结果，并可根据特殊情况如急诊抢救、设备故障等进行人工指定合适的预约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治疗及小微科室预约管理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系统支持根据病人名称、登记号、卡号等信息查询病人，支持模糊查询，查询后病人信息和未执行医嘱项目，显示可预约的时间表，进行实时自动预约；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系统支持患者通过预约平台根据预约号、项目名称、病人姓名等查询条件，查询病人预约项目，可取消预约项目；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系统支持患者通过自助预约系统提供预约项目预约单补打功能；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系统支持5个以上微小科室的自动预约。（提供满足支持微小科室数量的承诺书）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系统支持根据检查时段信息查询可预约资源，查询预约人数；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系统支持可根据治疗完成情况进行设备利用率统计；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系统支持可查询获取科室系统的排班信息、设备信息、治疗室信息、治疗时段信息、治疗项目信息；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系统支持可提供各种治疗类型治疗量分类统计；对治疗科室总体收入统计，按天/月/年统计；并能生成平面直方图、二维及三维直方图及饼状图、折线图等统计图表；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可根据开单情况、预约情况、到检情况、爽约情况、提前情况、预约号池情况、治疗室情况、排队情况、预约周期情况、检查完成情况各种治疗类型治疗量分类统计；生成各种工作指标和看板并支持大屏幕输出和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预住院检查检验预约对接支持模块（参数277至296）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支持多终端访问（PC、移动端、微信小程序等）。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具备高并发处理能力，确保预约系统稳定运行。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预约数据实时同步更新，保证数据的一致性和准确性。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系统接口标准化，支持与医院信息系统（HIS）、电子病历系统（EMR）、实验室信息系统（LIS）等对接。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用户友好界面，简化操作流程，提升患者体验。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数据加密传输与存储，确保患者信息安全。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多重身份验证机制，防止非法访问。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完善的数据备份与恢复机制，防止数据丢失。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自动化预约时间分配，优化资源利用。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智能提醒功能，提前通知患者预约时间及相关准备事项。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数据分析与报表功能，提供预约数据的统计与分析支持决策。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支持多类型检查检验项目的预约。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灵活的预约时间管理，支持按科室、医生、设备等多维度预约。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预约修改与取消功能，满足患者临时变动需求。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支持患者身份认证与管理，确保预约与患者信息准确匹配。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提供患者历史预约记录查询，方便跟踪检查检验历史。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预约成功、取消、变更等通知推送（短信、微信等）。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检查前注意事项提醒，帮助患者做好检查准备。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预约结果查询与报告下载通知。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支持系统模块化设计，方便未来功能扩展。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陪诊系统模块（参数298至311）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预约平台支持与院内现有的陪检系统、随访系统实现深度集成与业务对接。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实现线上统一管理和协调各项服务资源，确保患者能够享受到更加连贯、高效的医疗服务。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对于行动不便的患者，医院检查预约平台提供了特别的转运预约服务。无论是因为年老体弱、身体康复中、或者其他行动上的困难，我们都致力于让患者轻松前往医院接受必要的检查和治疗。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对于那些无人配合的患者，预约平台设有转运服务及护工预约服务，确保患者能够准时到达检查室，并在需要时获得适当的支持。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支持多种转运工具，包括平车、轮椅等。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支持护工人员、设备的分类管理。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304</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支持移动端护工预约。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305</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支持智能转运设备管理与绑定。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306</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支持全流程预约监控，患者随时可查看预约状态。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支持根据患者体征状态，智能分发患者至优先诊室，如躺姿或站姿等。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308</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转运服务由专业的团队负责，确保患者在行程中得到适当的照顾和支持。护理人员经过专业培训，能够妥善处理各种情况，让患者在转运过程中感到安心。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309</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可进行工作量，设备使用率，服务时长等多维度统计分析，便于精细化管理，提高患者满意度。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支持移动端预约护工操作，包括护工预约服务进展状态监控等功能。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患者可以根据自己的时间表选择适合的转运时间。系统会自动展示可用的转运选项，让患者自由选择。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随访系统集成对接支持（参数313至314）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313</w:t>
            </w:r>
          </w:p>
        </w:tc>
        <w:tc>
          <w:tcPr>
            <w:tcW w:w="77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平台可与院内随访系统的紧密对接，为患者提供个性化的随访服务。实现平台统一管理。通过这一模块的运作，患者能够更加方便地了解自己的健康状况，及时采取必要的治疗措施，提高治疗效果和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959"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314</w:t>
            </w:r>
          </w:p>
        </w:tc>
        <w:tc>
          <w:tcPr>
            <w:tcW w:w="7781"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平台与随访系统的对接也将为患者提供更加完善的后续服务。一站式服务中心的建设，旨在提升医疗服务的整体体验和满意度。为了确保患者随访工作的高效性和数据的高质量收集。确定预约平台和随访系统的功能需求和目标，了解现有的系统架构、技术栈以及数据结构，确定系统对接的具体接口和数据交换需求。</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numPr>
          <w:ilvl w:val="0"/>
          <w:numId w:val="2"/>
        </w:numPr>
        <w:rPr>
          <w:rFonts w:hint="default"/>
          <w:lang w:val="en-US" w:eastAsia="zh-CN"/>
        </w:rPr>
      </w:pPr>
      <w:r>
        <w:rPr>
          <w:rFonts w:hint="eastAsia"/>
          <w:lang w:val="en-US" w:eastAsia="zh-CN"/>
        </w:rPr>
        <w:t>评标办法</w:t>
      </w:r>
    </w:p>
    <w:p>
      <w:pPr>
        <w:numPr>
          <w:ilvl w:val="0"/>
          <w:numId w:val="0"/>
        </w:numPr>
        <w:rPr>
          <w:rFonts w:hint="default"/>
          <w:lang w:val="en-US" w:eastAsia="zh-CN"/>
        </w:rPr>
      </w:pPr>
    </w:p>
    <w:tbl>
      <w:tblPr>
        <w:tblStyle w:val="13"/>
        <w:tblpPr w:vertAnchor="text" w:tblpXSpec="center" w:tblpY="1"/>
        <w:tblW w:w="12777" w:type="dxa"/>
        <w:tblInd w:w="108" w:type="dxa"/>
        <w:tblLayout w:type="fixed"/>
        <w:tblCellMar>
          <w:top w:w="0" w:type="dxa"/>
          <w:left w:w="0" w:type="dxa"/>
          <w:bottom w:w="0" w:type="dxa"/>
          <w:right w:w="0" w:type="dxa"/>
        </w:tblCellMar>
      </w:tblPr>
      <w:tblGrid>
        <w:gridCol w:w="1090"/>
        <w:gridCol w:w="1405"/>
        <w:gridCol w:w="3818"/>
        <w:gridCol w:w="3309"/>
        <w:gridCol w:w="3155"/>
      </w:tblGrid>
      <w:tr>
        <w:tblPrEx>
          <w:tblCellMar>
            <w:top w:w="0" w:type="dxa"/>
            <w:left w:w="0" w:type="dxa"/>
            <w:bottom w:w="0" w:type="dxa"/>
            <w:right w:w="0" w:type="dxa"/>
          </w:tblCellMar>
        </w:tblPrEx>
        <w:trPr>
          <w:gridAfter w:val="1"/>
          <w:wAfter w:w="3155" w:type="dxa"/>
          <w:trHeight w:val="401" w:hRule="atLeast"/>
        </w:trPr>
        <w:tc>
          <w:tcPr>
            <w:tcW w:w="24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center"/>
              <w:rPr>
                <w:rFonts w:hint="default" w:ascii="宋体" w:hAnsi="Calibri" w:eastAsia="宋体"/>
                <w:b/>
                <w:bCs/>
                <w:color w:val="auto"/>
                <w:w w:val="100"/>
                <w:sz w:val="21"/>
                <w:highlight w:val="none"/>
              </w:rPr>
            </w:pPr>
            <w:r>
              <w:rPr>
                <w:rFonts w:hint="default" w:ascii="宋体" w:hAnsi="宋体" w:eastAsia="宋体"/>
                <w:b/>
                <w:bCs/>
                <w:color w:val="auto"/>
                <w:w w:val="100"/>
                <w:sz w:val="21"/>
                <w:highlight w:val="none"/>
              </w:rPr>
              <w:t>评审因素</w:t>
            </w:r>
          </w:p>
        </w:tc>
        <w:tc>
          <w:tcPr>
            <w:tcW w:w="7127"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center"/>
              <w:rPr>
                <w:rFonts w:hint="default" w:ascii="宋体" w:hAnsi="Calibri" w:eastAsia="宋体"/>
                <w:b/>
                <w:bCs/>
                <w:color w:val="auto"/>
                <w:w w:val="100"/>
                <w:sz w:val="21"/>
                <w:highlight w:val="none"/>
              </w:rPr>
            </w:pPr>
            <w:r>
              <w:rPr>
                <w:rFonts w:hint="default" w:ascii="宋体" w:hAnsi="宋体" w:eastAsia="宋体"/>
                <w:b/>
                <w:bCs/>
                <w:color w:val="auto"/>
                <w:w w:val="100"/>
                <w:sz w:val="21"/>
                <w:highlight w:val="none"/>
              </w:rPr>
              <w:t>评分标准</w:t>
            </w:r>
          </w:p>
        </w:tc>
      </w:tr>
      <w:tr>
        <w:tblPrEx>
          <w:tblCellMar>
            <w:top w:w="0" w:type="dxa"/>
            <w:left w:w="0" w:type="dxa"/>
            <w:bottom w:w="0" w:type="dxa"/>
            <w:right w:w="0" w:type="dxa"/>
          </w:tblCellMar>
        </w:tblPrEx>
        <w:trPr>
          <w:gridAfter w:val="1"/>
          <w:wAfter w:w="3155" w:type="dxa"/>
          <w:trHeight w:val="840" w:hRule="atLeast"/>
        </w:trPr>
        <w:tc>
          <w:tcPr>
            <w:tcW w:w="24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center"/>
              <w:rPr>
                <w:rFonts w:hint="default" w:ascii="宋体" w:hAnsi="Calibri" w:eastAsia="宋体"/>
                <w:b w:val="0"/>
                <w:color w:val="auto"/>
                <w:w w:val="100"/>
                <w:sz w:val="21"/>
                <w:highlight w:val="none"/>
              </w:rPr>
            </w:pPr>
            <w:r>
              <w:rPr>
                <w:rFonts w:hint="default" w:ascii="宋体" w:hAnsi="宋体" w:eastAsia="宋体"/>
                <w:b/>
                <w:bCs/>
                <w:color w:val="auto"/>
                <w:w w:val="100"/>
                <w:sz w:val="21"/>
                <w:highlight w:val="none"/>
              </w:rPr>
              <w:t>分值构成</w:t>
            </w:r>
          </w:p>
        </w:tc>
        <w:tc>
          <w:tcPr>
            <w:tcW w:w="7127"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r>
              <w:rPr>
                <w:rFonts w:hint="eastAsia" w:ascii="宋体" w:hAnsi="宋体" w:eastAsia="宋体"/>
                <w:b w:val="0"/>
                <w:color w:val="auto"/>
                <w:w w:val="100"/>
                <w:sz w:val="21"/>
                <w:highlight w:val="none"/>
              </w:rPr>
              <w:t>1．投标报价：</w:t>
            </w:r>
            <w:r>
              <w:rPr>
                <w:rFonts w:hint="eastAsia" w:ascii="宋体" w:hAnsi="宋体" w:eastAsia="宋体"/>
                <w:b w:val="0"/>
                <w:color w:val="auto"/>
                <w:w w:val="100"/>
                <w:sz w:val="21"/>
                <w:highlight w:val="none"/>
                <w:lang w:val="en-US" w:eastAsia="zh-CN"/>
              </w:rPr>
              <w:t>30</w:t>
            </w:r>
            <w:r>
              <w:rPr>
                <w:rFonts w:hint="eastAsia" w:ascii="宋体" w:hAnsi="宋体" w:eastAsia="宋体"/>
                <w:b w:val="0"/>
                <w:color w:val="auto"/>
                <w:w w:val="100"/>
                <w:sz w:val="21"/>
                <w:highlight w:val="none"/>
              </w:rPr>
              <w:t>分</w:t>
            </w:r>
          </w:p>
          <w:p>
            <w:pPr>
              <w:keepNext w:val="0"/>
              <w:keepLines w:val="0"/>
              <w:widowControl/>
              <w:suppressLineNumbers w:val="0"/>
              <w:autoSpaceDE/>
              <w:autoSpaceDN/>
              <w:snapToGrid/>
              <w:spacing w:before="0" w:beforeAutospacing="0" w:after="0" w:afterAutospacing="0" w:line="240" w:lineRule="auto"/>
              <w:ind w:left="0" w:right="0" w:firstLine="0"/>
              <w:jc w:val="left"/>
              <w:rPr>
                <w:rFonts w:hint="eastAsia" w:ascii="宋体" w:hAnsi="宋体" w:eastAsia="宋体"/>
                <w:b w:val="0"/>
                <w:color w:val="auto"/>
                <w:w w:val="100"/>
                <w:sz w:val="21"/>
                <w:highlight w:val="none"/>
              </w:rPr>
            </w:pPr>
            <w:r>
              <w:rPr>
                <w:rFonts w:hint="eastAsia" w:ascii="宋体" w:hAnsi="宋体" w:eastAsia="宋体"/>
                <w:b w:val="0"/>
                <w:color w:val="auto"/>
                <w:w w:val="100"/>
                <w:sz w:val="21"/>
                <w:highlight w:val="none"/>
              </w:rPr>
              <w:t>2、技术</w:t>
            </w:r>
            <w:r>
              <w:rPr>
                <w:rFonts w:hint="eastAsia" w:ascii="宋体" w:hAnsi="宋体" w:eastAsia="宋体"/>
                <w:b w:val="0"/>
                <w:color w:val="auto"/>
                <w:w w:val="100"/>
                <w:sz w:val="21"/>
                <w:highlight w:val="none"/>
                <w:lang w:val="en-US" w:eastAsia="zh-CN"/>
              </w:rPr>
              <w:t>部分：50</w:t>
            </w:r>
            <w:r>
              <w:rPr>
                <w:rFonts w:hint="eastAsia" w:ascii="宋体" w:hAnsi="宋体" w:eastAsia="宋体"/>
                <w:b w:val="0"/>
                <w:color w:val="auto"/>
                <w:w w:val="100"/>
                <w:sz w:val="21"/>
                <w:highlight w:val="none"/>
              </w:rPr>
              <w:t xml:space="preserve">分 </w:t>
            </w:r>
          </w:p>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Calibri" w:eastAsia="宋体"/>
                <w:b w:val="0"/>
                <w:color w:val="auto"/>
                <w:w w:val="100"/>
                <w:sz w:val="21"/>
                <w:highlight w:val="none"/>
              </w:rPr>
            </w:pPr>
            <w:r>
              <w:rPr>
                <w:rFonts w:hint="eastAsia" w:ascii="宋体" w:hAnsi="宋体" w:eastAsia="宋体"/>
                <w:b w:val="0"/>
                <w:color w:val="auto"/>
                <w:w w:val="100"/>
                <w:sz w:val="21"/>
                <w:highlight w:val="none"/>
              </w:rPr>
              <w:t>3</w:t>
            </w:r>
            <w:r>
              <w:rPr>
                <w:rFonts w:hint="eastAsia" w:ascii="宋体" w:hAnsi="宋体" w:eastAsia="宋体"/>
                <w:b w:val="0"/>
                <w:color w:val="auto"/>
                <w:w w:val="100"/>
                <w:sz w:val="21"/>
                <w:highlight w:val="none"/>
                <w:lang w:eastAsia="zh-CN"/>
              </w:rPr>
              <w:t>、</w:t>
            </w:r>
            <w:r>
              <w:rPr>
                <w:rFonts w:hint="eastAsia" w:ascii="宋体" w:hAnsi="宋体" w:eastAsia="宋体"/>
                <w:b w:val="0"/>
                <w:color w:val="auto"/>
                <w:w w:val="100"/>
                <w:sz w:val="21"/>
                <w:highlight w:val="none"/>
              </w:rPr>
              <w:t>商务</w:t>
            </w:r>
            <w:r>
              <w:rPr>
                <w:rFonts w:hint="eastAsia" w:ascii="宋体" w:hAnsi="宋体" w:eastAsia="宋体"/>
                <w:b w:val="0"/>
                <w:color w:val="auto"/>
                <w:w w:val="100"/>
                <w:sz w:val="21"/>
                <w:highlight w:val="none"/>
                <w:lang w:val="en-US" w:eastAsia="zh-CN"/>
              </w:rPr>
              <w:t>部分：20</w:t>
            </w:r>
            <w:r>
              <w:rPr>
                <w:rFonts w:hint="eastAsia" w:ascii="宋体" w:hAnsi="宋体" w:eastAsia="宋体"/>
                <w:b w:val="0"/>
                <w:color w:val="auto"/>
                <w:w w:val="100"/>
                <w:sz w:val="21"/>
                <w:highlight w:val="none"/>
              </w:rPr>
              <w:t>分</w:t>
            </w:r>
          </w:p>
        </w:tc>
      </w:tr>
      <w:tr>
        <w:tblPrEx>
          <w:tblCellMar>
            <w:top w:w="0" w:type="dxa"/>
            <w:left w:w="0" w:type="dxa"/>
            <w:bottom w:w="0" w:type="dxa"/>
            <w:right w:w="0" w:type="dxa"/>
          </w:tblCellMar>
        </w:tblPrEx>
        <w:trPr>
          <w:gridAfter w:val="1"/>
          <w:wAfter w:w="3155" w:type="dxa"/>
          <w:trHeight w:val="567" w:hRule="atLeast"/>
        </w:trPr>
        <w:tc>
          <w:tcPr>
            <w:tcW w:w="1090" w:type="dxa"/>
            <w:vMerge w:val="restart"/>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left"/>
              <w:rPr>
                <w:rFonts w:hint="eastAsia" w:ascii="宋体" w:hAnsi="宋体" w:eastAsia="宋体"/>
                <w:b/>
                <w:bCs/>
                <w:color w:val="auto"/>
                <w:w w:val="100"/>
                <w:sz w:val="21"/>
                <w:highlight w:val="none"/>
                <w:lang w:val="en-US" w:eastAsia="zh-CN"/>
              </w:rPr>
            </w:pPr>
          </w:p>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bCs/>
                <w:color w:val="auto"/>
                <w:w w:val="100"/>
                <w:sz w:val="21"/>
                <w:highlight w:val="none"/>
              </w:rPr>
            </w:pPr>
            <w:r>
              <w:rPr>
                <w:rFonts w:hint="default" w:ascii="宋体" w:hAnsi="宋体" w:eastAsia="宋体"/>
                <w:b/>
                <w:bCs/>
                <w:color w:val="auto"/>
                <w:w w:val="100"/>
                <w:sz w:val="21"/>
                <w:highlight w:val="none"/>
              </w:rPr>
              <w:t>投标报价</w:t>
            </w:r>
          </w:p>
          <w:p>
            <w:pPr>
              <w:pStyle w:val="29"/>
              <w:keepNext w:val="0"/>
              <w:keepLines w:val="0"/>
              <w:suppressLineNumbers w:val="0"/>
              <w:spacing w:before="0" w:beforeAutospacing="0" w:after="0" w:afterAutospacing="0"/>
              <w:ind w:left="0" w:right="0"/>
              <w:rPr>
                <w:rFonts w:hint="default"/>
                <w:color w:val="auto"/>
                <w:szCs w:val="20"/>
                <w:highlight w:val="none"/>
              </w:rPr>
            </w:pPr>
            <w:r>
              <w:rPr>
                <w:rFonts w:hint="eastAsia" w:ascii="宋体" w:hAnsi="宋体" w:eastAsia="宋体"/>
                <w:b/>
                <w:bCs/>
                <w:color w:val="auto"/>
                <w:w w:val="100"/>
                <w:sz w:val="21"/>
                <w:szCs w:val="20"/>
                <w:highlight w:val="none"/>
              </w:rPr>
              <w:t>(</w:t>
            </w:r>
            <w:r>
              <w:rPr>
                <w:rFonts w:hint="eastAsia" w:hAnsi="宋体"/>
                <w:b/>
                <w:bCs/>
                <w:color w:val="auto"/>
                <w:w w:val="100"/>
                <w:sz w:val="21"/>
                <w:szCs w:val="20"/>
                <w:highlight w:val="none"/>
                <w:lang w:val="en-US" w:eastAsia="zh-CN"/>
              </w:rPr>
              <w:t>30</w:t>
            </w:r>
            <w:r>
              <w:rPr>
                <w:rFonts w:hint="eastAsia" w:ascii="宋体" w:hAnsi="宋体" w:eastAsia="宋体"/>
                <w:b/>
                <w:bCs/>
                <w:color w:val="auto"/>
                <w:w w:val="100"/>
                <w:sz w:val="21"/>
                <w:szCs w:val="20"/>
                <w:highlight w:val="none"/>
              </w:rPr>
              <w:t>分)</w:t>
            </w:r>
          </w:p>
        </w:tc>
        <w:tc>
          <w:tcPr>
            <w:tcW w:w="140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left"/>
              <w:rPr>
                <w:rFonts w:hint="eastAsia" w:ascii="宋体" w:hAnsi="宋体" w:eastAsia="宋体"/>
                <w:b/>
                <w:bCs/>
                <w:color w:val="auto"/>
                <w:w w:val="100"/>
                <w:sz w:val="21"/>
                <w:highlight w:val="none"/>
              </w:rPr>
            </w:pPr>
            <w:r>
              <w:rPr>
                <w:rFonts w:hint="eastAsia" w:ascii="宋体" w:hAnsi="宋体" w:eastAsia="宋体"/>
                <w:b/>
                <w:bCs/>
                <w:color w:val="auto"/>
                <w:w w:val="100"/>
                <w:sz w:val="21"/>
                <w:highlight w:val="none"/>
              </w:rPr>
              <w:t>评标基准价确定方法</w:t>
            </w:r>
          </w:p>
        </w:tc>
        <w:tc>
          <w:tcPr>
            <w:tcW w:w="7127"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left"/>
              <w:rPr>
                <w:rFonts w:hint="eastAsia" w:ascii="宋体" w:hAnsi="宋体" w:eastAsia="宋体"/>
                <w:b w:val="0"/>
                <w:color w:val="auto"/>
                <w:w w:val="100"/>
                <w:sz w:val="21"/>
                <w:highlight w:val="none"/>
              </w:rPr>
            </w:pPr>
            <w:r>
              <w:rPr>
                <w:rFonts w:hint="eastAsia" w:ascii="宋体" w:hAnsi="宋体" w:eastAsia="宋体"/>
                <w:b w:val="0"/>
                <w:color w:val="auto"/>
                <w:w w:val="100"/>
                <w:sz w:val="21"/>
                <w:highlight w:val="none"/>
                <w:lang w:val="en-US" w:eastAsia="zh-CN"/>
              </w:rPr>
              <w:t>1、</w:t>
            </w:r>
            <w:r>
              <w:rPr>
                <w:rFonts w:hint="eastAsia" w:ascii="宋体" w:hAnsi="宋体" w:eastAsia="宋体"/>
                <w:b w:val="0"/>
                <w:color w:val="auto"/>
                <w:w w:val="100"/>
                <w:sz w:val="21"/>
                <w:highlight w:val="none"/>
              </w:rPr>
              <w:t>最低有效投标报价：有效投标人报价中的最低报价。</w:t>
            </w:r>
          </w:p>
          <w:p>
            <w:pPr>
              <w:keepNext w:val="0"/>
              <w:keepLines w:val="0"/>
              <w:widowControl/>
              <w:suppressLineNumbers w:val="0"/>
              <w:autoSpaceDE/>
              <w:autoSpaceDN/>
              <w:snapToGrid/>
              <w:spacing w:before="0" w:beforeAutospacing="0" w:after="0" w:afterAutospacing="0" w:line="240" w:lineRule="auto"/>
              <w:ind w:left="0" w:right="0" w:firstLine="0"/>
              <w:jc w:val="left"/>
              <w:rPr>
                <w:rFonts w:hint="eastAsia" w:ascii="宋体" w:hAnsi="宋体" w:eastAsia="宋体"/>
                <w:b w:val="0"/>
                <w:color w:val="auto"/>
                <w:w w:val="100"/>
                <w:sz w:val="21"/>
                <w:highlight w:val="none"/>
              </w:rPr>
            </w:pPr>
            <w:r>
              <w:rPr>
                <w:rFonts w:hint="eastAsia" w:ascii="宋体" w:hAnsi="宋体" w:eastAsia="宋体"/>
                <w:b w:val="0"/>
                <w:color w:val="auto"/>
                <w:w w:val="100"/>
                <w:sz w:val="21"/>
                <w:highlight w:val="none"/>
                <w:lang w:val="en-US" w:eastAsia="zh-CN"/>
              </w:rPr>
              <w:t>2、</w:t>
            </w:r>
            <w:r>
              <w:rPr>
                <w:rFonts w:hint="eastAsia" w:ascii="宋体" w:hAnsi="宋体" w:eastAsia="宋体"/>
                <w:b w:val="0"/>
                <w:color w:val="auto"/>
                <w:w w:val="100"/>
                <w:sz w:val="21"/>
                <w:highlight w:val="none"/>
              </w:rPr>
              <w:t>有效投标报价：各有效投标人的报价。</w:t>
            </w:r>
          </w:p>
          <w:p>
            <w:pPr>
              <w:keepNext w:val="0"/>
              <w:keepLines w:val="0"/>
              <w:widowControl/>
              <w:suppressLineNumbers w:val="0"/>
              <w:autoSpaceDE/>
              <w:autoSpaceDN/>
              <w:snapToGrid/>
              <w:spacing w:before="0" w:beforeAutospacing="0" w:after="0" w:afterAutospacing="0" w:line="240" w:lineRule="auto"/>
              <w:ind w:left="0" w:right="0" w:firstLine="0"/>
              <w:jc w:val="left"/>
              <w:rPr>
                <w:rFonts w:hint="eastAsia" w:ascii="宋体" w:hAnsi="宋体" w:eastAsia="宋体"/>
                <w:b w:val="0"/>
                <w:color w:val="auto"/>
                <w:w w:val="100"/>
                <w:sz w:val="21"/>
                <w:highlight w:val="none"/>
              </w:rPr>
            </w:pPr>
            <w:r>
              <w:rPr>
                <w:rFonts w:hint="eastAsia" w:ascii="宋体" w:hAnsi="宋体" w:eastAsia="宋体"/>
                <w:b w:val="0"/>
                <w:color w:val="auto"/>
                <w:w w:val="100"/>
                <w:sz w:val="21"/>
                <w:highlight w:val="none"/>
                <w:lang w:val="en-US" w:eastAsia="zh-CN"/>
              </w:rPr>
              <w:t>3、</w:t>
            </w:r>
            <w:r>
              <w:rPr>
                <w:rFonts w:hint="eastAsia" w:ascii="宋体" w:hAnsi="宋体" w:eastAsia="宋体"/>
                <w:b w:val="0"/>
                <w:color w:val="auto"/>
                <w:w w:val="100"/>
                <w:sz w:val="21"/>
                <w:highlight w:val="none"/>
              </w:rPr>
              <w:t>计算分数时四舍五入保留两位小数点。</w:t>
            </w:r>
          </w:p>
        </w:tc>
      </w:tr>
      <w:tr>
        <w:tblPrEx>
          <w:tblCellMar>
            <w:top w:w="0" w:type="dxa"/>
            <w:left w:w="0" w:type="dxa"/>
            <w:bottom w:w="0" w:type="dxa"/>
            <w:right w:w="0" w:type="dxa"/>
          </w:tblCellMar>
        </w:tblPrEx>
        <w:trPr>
          <w:gridAfter w:val="1"/>
          <w:wAfter w:w="3155" w:type="dxa"/>
          <w:trHeight w:val="567" w:hRule="atLeast"/>
        </w:trPr>
        <w:tc>
          <w:tcPr>
            <w:tcW w:w="1090" w:type="dxa"/>
            <w:vMerge w:val="continue"/>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Calibri" w:eastAsia="宋体"/>
                <w:b w:val="0"/>
                <w:color w:val="auto"/>
                <w:w w:val="100"/>
                <w:sz w:val="21"/>
                <w:highlight w:val="none"/>
              </w:rPr>
            </w:pPr>
          </w:p>
        </w:tc>
        <w:tc>
          <w:tcPr>
            <w:tcW w:w="14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val="0"/>
              <w:spacing w:before="0" w:beforeAutospacing="0" w:after="0" w:afterAutospacing="0" w:line="240" w:lineRule="auto"/>
              <w:ind w:left="0" w:right="0" w:firstLine="0"/>
              <w:jc w:val="center"/>
              <w:rPr>
                <w:rFonts w:hint="default" w:ascii="宋体" w:hAnsi="Calibri" w:eastAsia="宋体"/>
                <w:b/>
                <w:bCs/>
                <w:color w:val="auto"/>
                <w:w w:val="100"/>
                <w:sz w:val="21"/>
                <w:highlight w:val="none"/>
              </w:rPr>
            </w:pPr>
            <w:r>
              <w:rPr>
                <w:rFonts w:hint="default" w:ascii="宋体" w:hAnsi="宋体" w:eastAsia="宋体"/>
                <w:b/>
                <w:bCs/>
                <w:color w:val="auto"/>
                <w:w w:val="100"/>
                <w:sz w:val="21"/>
                <w:highlight w:val="none"/>
              </w:rPr>
              <w:t>投标报价得分（</w:t>
            </w:r>
            <w:r>
              <w:rPr>
                <w:rFonts w:hint="eastAsia" w:ascii="宋体" w:hAnsi="宋体" w:eastAsia="宋体"/>
                <w:b/>
                <w:bCs/>
                <w:color w:val="auto"/>
                <w:w w:val="100"/>
                <w:sz w:val="21"/>
                <w:highlight w:val="none"/>
                <w:lang w:val="en-US" w:eastAsia="zh-CN"/>
              </w:rPr>
              <w:t>30</w:t>
            </w:r>
            <w:r>
              <w:rPr>
                <w:rFonts w:hint="default" w:ascii="宋体" w:hAnsi="宋体" w:eastAsia="宋体"/>
                <w:b/>
                <w:bCs/>
                <w:color w:val="auto"/>
                <w:w w:val="100"/>
                <w:sz w:val="21"/>
                <w:highlight w:val="none"/>
              </w:rPr>
              <w:t>分）</w:t>
            </w:r>
          </w:p>
        </w:tc>
        <w:tc>
          <w:tcPr>
            <w:tcW w:w="7127"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val="0"/>
              <w:spacing w:before="0" w:beforeAutospacing="0" w:after="0" w:afterAutospacing="0" w:line="240" w:lineRule="auto"/>
              <w:ind w:left="0" w:right="0" w:firstLine="0"/>
              <w:jc w:val="left"/>
              <w:rPr>
                <w:rFonts w:hint="eastAsia" w:ascii="宋体" w:hAnsi="Calibri" w:eastAsia="宋体"/>
                <w:b w:val="0"/>
                <w:color w:val="auto"/>
                <w:w w:val="100"/>
                <w:sz w:val="21"/>
                <w:highlight w:val="none"/>
              </w:rPr>
            </w:pPr>
          </w:p>
          <w:p>
            <w:pPr>
              <w:keepNext w:val="0"/>
              <w:keepLines w:val="0"/>
              <w:widowControl/>
              <w:suppressLineNumbers w:val="0"/>
              <w:autoSpaceDE/>
              <w:autoSpaceDN/>
              <w:snapToGrid w:val="0"/>
              <w:spacing w:before="0" w:beforeAutospacing="0" w:after="0" w:afterAutospacing="0" w:line="240" w:lineRule="auto"/>
              <w:ind w:left="0" w:right="0" w:firstLine="0"/>
              <w:jc w:val="left"/>
              <w:rPr>
                <w:rFonts w:hint="default" w:ascii="宋体" w:hAnsi="Calibri" w:eastAsia="宋体"/>
                <w:b w:val="0"/>
                <w:color w:val="auto"/>
                <w:w w:val="100"/>
                <w:sz w:val="21"/>
                <w:highlight w:val="none"/>
                <w:lang w:val="en-US" w:eastAsia="zh-CN"/>
              </w:rPr>
            </w:pPr>
            <w:r>
              <w:rPr>
                <w:rFonts w:hint="eastAsia" w:ascii="宋体" w:hAnsi="Calibri" w:eastAsia="宋体"/>
                <w:b w:val="0"/>
                <w:color w:val="auto"/>
                <w:w w:val="100"/>
                <w:sz w:val="21"/>
                <w:highlight w:val="none"/>
              </w:rPr>
              <w:t>投标人报价分=（最低有效投标报价/有效投标报价）×</w:t>
            </w:r>
            <w:r>
              <w:rPr>
                <w:rFonts w:hint="eastAsia" w:ascii="宋体" w:hAnsi="Calibri" w:eastAsia="宋体"/>
                <w:b w:val="0"/>
                <w:color w:val="auto"/>
                <w:w w:val="100"/>
                <w:sz w:val="21"/>
                <w:highlight w:val="none"/>
                <w:lang w:val="en-US" w:eastAsia="zh-CN"/>
              </w:rPr>
              <w:t>30</w:t>
            </w:r>
          </w:p>
          <w:p>
            <w:pPr>
              <w:pStyle w:val="29"/>
              <w:keepNext w:val="0"/>
              <w:keepLines w:val="0"/>
              <w:suppressLineNumbers w:val="0"/>
              <w:spacing w:before="0" w:beforeAutospacing="0" w:after="0" w:afterAutospacing="0"/>
              <w:ind w:left="0" w:right="0"/>
              <w:rPr>
                <w:rFonts w:hint="eastAsia" w:ascii="宋体" w:hAnsi="Calibri" w:eastAsia="宋体"/>
                <w:b w:val="0"/>
                <w:color w:val="auto"/>
                <w:w w:val="100"/>
                <w:sz w:val="21"/>
                <w:szCs w:val="20"/>
                <w:highlight w:val="none"/>
                <w:lang w:val="en-US" w:eastAsia="zh-CN"/>
              </w:rPr>
            </w:pPr>
          </w:p>
        </w:tc>
      </w:tr>
      <w:tr>
        <w:tblPrEx>
          <w:tblCellMar>
            <w:top w:w="0" w:type="dxa"/>
            <w:left w:w="0" w:type="dxa"/>
            <w:bottom w:w="0" w:type="dxa"/>
            <w:right w:w="0" w:type="dxa"/>
          </w:tblCellMar>
        </w:tblPrEx>
        <w:trPr>
          <w:gridAfter w:val="1"/>
          <w:wAfter w:w="3155" w:type="dxa"/>
          <w:trHeight w:val="1972" w:hRule="atLeast"/>
        </w:trPr>
        <w:tc>
          <w:tcPr>
            <w:tcW w:w="1090" w:type="dxa"/>
            <w:vMerge w:val="restart"/>
            <w:tcBorders>
              <w:left w:val="single" w:color="000000" w:sz="4" w:space="0"/>
              <w:right w:val="single" w:color="000000" w:sz="4" w:space="0"/>
            </w:tcBorders>
            <w:noWrap w:val="0"/>
            <w:tcMar>
              <w:top w:w="0" w:type="dxa"/>
              <w:left w:w="108" w:type="dxa"/>
              <w:bottom w:w="0" w:type="dxa"/>
              <w:right w:w="108" w:type="dxa"/>
            </w:tcMar>
            <w:vAlign w:val="center"/>
          </w:tcPr>
          <w:p>
            <w:pPr>
              <w:pStyle w:val="29"/>
              <w:keepNext w:val="0"/>
              <w:keepLines w:val="0"/>
              <w:numPr>
                <w:ilvl w:val="0"/>
                <w:numId w:val="0"/>
              </w:numPr>
              <w:suppressLineNumbers w:val="0"/>
              <w:spacing w:before="0" w:beforeAutospacing="0" w:after="0" w:afterAutospacing="0"/>
              <w:ind w:left="0" w:right="0"/>
              <w:rPr>
                <w:rFonts w:hint="default" w:hAnsi="宋体"/>
                <w:b/>
                <w:bCs/>
                <w:color w:val="auto"/>
                <w:w w:val="100"/>
                <w:sz w:val="21"/>
                <w:szCs w:val="20"/>
                <w:highlight w:val="none"/>
                <w:lang w:val="en-US" w:eastAsia="zh-CN"/>
              </w:rPr>
            </w:pPr>
            <w:r>
              <w:rPr>
                <w:rFonts w:hint="eastAsia" w:hAnsi="宋体"/>
                <w:b/>
                <w:bCs/>
                <w:color w:val="auto"/>
                <w:w w:val="100"/>
                <w:sz w:val="21"/>
                <w:szCs w:val="20"/>
                <w:highlight w:val="none"/>
                <w:lang w:val="en-US" w:eastAsia="zh-CN"/>
              </w:rPr>
              <w:t>技术分（50分）</w:t>
            </w:r>
          </w:p>
        </w:tc>
        <w:tc>
          <w:tcPr>
            <w:tcW w:w="140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jc w:val="both"/>
              <w:rPr>
                <w:rFonts w:hint="default" w:ascii="宋体" w:hAnsi="Calibri" w:eastAsia="宋体"/>
                <w:b w:val="0"/>
                <w:color w:val="auto"/>
                <w:w w:val="100"/>
                <w:sz w:val="21"/>
                <w:highlight w:val="none"/>
              </w:rPr>
            </w:pPr>
            <w:r>
              <w:rPr>
                <w:rFonts w:hint="eastAsia" w:ascii="宋体" w:hAnsi="宋体"/>
                <w:bCs/>
                <w:color w:val="auto"/>
                <w:sz w:val="24"/>
                <w:szCs w:val="24"/>
                <w:highlight w:val="none"/>
                <w:lang w:val="en-US" w:eastAsia="zh-CN"/>
              </w:rPr>
              <w:t>“技术及服务要求</w:t>
            </w:r>
            <w:r>
              <w:rPr>
                <w:rFonts w:hint="eastAsia" w:ascii="宋体" w:hAnsi="宋体"/>
                <w:b/>
                <w:bCs w:val="0"/>
                <w:color w:val="auto"/>
                <w:sz w:val="24"/>
                <w:szCs w:val="24"/>
                <w:highlight w:val="none"/>
                <w:lang w:val="en-US" w:eastAsia="zh-CN"/>
              </w:rPr>
              <w:t>（21分）</w:t>
            </w:r>
          </w:p>
        </w:tc>
        <w:tc>
          <w:tcPr>
            <w:tcW w:w="7127"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所有技术要求</w:t>
            </w:r>
            <w:r>
              <w:rPr>
                <w:rFonts w:hint="eastAsia" w:ascii="宋体" w:hAnsi="宋体"/>
                <w:color w:val="auto"/>
                <w:sz w:val="24"/>
                <w:szCs w:val="24"/>
                <w:highlight w:val="none"/>
              </w:rPr>
              <w:t>完全满足：</w:t>
            </w:r>
            <w:r>
              <w:rPr>
                <w:rFonts w:hint="eastAsia" w:ascii="宋体" w:hAnsi="宋体"/>
                <w:color w:val="auto"/>
                <w:sz w:val="24"/>
                <w:szCs w:val="24"/>
                <w:highlight w:val="none"/>
                <w:lang w:val="en-US" w:eastAsia="zh-CN"/>
              </w:rPr>
              <w:t>得21</w:t>
            </w:r>
            <w:r>
              <w:rPr>
                <w:rFonts w:hint="eastAsia" w:ascii="宋体" w:hAnsi="宋体"/>
                <w:color w:val="auto"/>
                <w:sz w:val="24"/>
                <w:szCs w:val="24"/>
                <w:highlight w:val="none"/>
              </w:rPr>
              <w:t>分</w:t>
            </w:r>
          </w:p>
          <w:p>
            <w:pPr>
              <w:keepNext w:val="0"/>
              <w:keepLines w:val="0"/>
              <w:suppressLineNumbers w:val="0"/>
              <w:spacing w:before="0" w:beforeAutospacing="0" w:after="0" w:afterAutospacing="0"/>
              <w:ind w:left="0" w:right="0"/>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（2）</w:t>
            </w:r>
            <w:r>
              <w:rPr>
                <w:rFonts w:hint="default" w:ascii="宋体" w:hAnsi="宋体" w:eastAsia="宋体"/>
                <w:b w:val="0"/>
                <w:color w:val="auto"/>
                <w:w w:val="100"/>
                <w:sz w:val="21"/>
                <w:highlight w:val="none"/>
              </w:rPr>
              <w:t>所有</w:t>
            </w:r>
            <w:r>
              <w:rPr>
                <w:rFonts w:hint="eastAsia" w:ascii="宋体" w:hAnsi="宋体" w:eastAsia="宋体"/>
                <w:b w:val="0"/>
                <w:color w:val="auto"/>
                <w:w w:val="100"/>
                <w:sz w:val="21"/>
                <w:highlight w:val="none"/>
                <w:lang w:val="en-US" w:eastAsia="zh-CN"/>
              </w:rPr>
              <w:t>重要</w:t>
            </w:r>
            <w:r>
              <w:rPr>
                <w:rFonts w:hint="default" w:ascii="宋体" w:hAnsi="宋体" w:eastAsia="宋体"/>
                <w:b w:val="0"/>
                <w:color w:val="auto"/>
                <w:w w:val="100"/>
                <w:sz w:val="21"/>
                <w:highlight w:val="none"/>
              </w:rPr>
              <w:t>技术参数指标（</w:t>
            </w:r>
            <w:r>
              <w:rPr>
                <w:rFonts w:hint="eastAsia" w:ascii="宋体" w:hAnsi="宋体" w:eastAsia="宋体"/>
                <w:b w:val="0"/>
                <w:color w:val="auto"/>
                <w:w w:val="100"/>
                <w:sz w:val="21"/>
                <w:highlight w:val="none"/>
                <w:lang w:val="en-US" w:eastAsia="zh-CN"/>
              </w:rPr>
              <w:t>标</w:t>
            </w:r>
            <w:r>
              <w:rPr>
                <w:rFonts w:hint="default" w:ascii="宋体" w:hAnsi="宋体" w:eastAsia="宋体"/>
                <w:b w:val="0"/>
                <w:color w:val="auto"/>
                <w:w w:val="100"/>
                <w:sz w:val="21"/>
                <w:highlight w:val="none"/>
              </w:rPr>
              <w:t>“</w:t>
            </w:r>
            <w:r>
              <w:rPr>
                <w:rFonts w:hint="eastAsia" w:ascii="宋体" w:hAnsi="宋体" w:eastAsia="宋体" w:cs="宋体"/>
                <w:b w:val="0"/>
                <w:color w:val="auto"/>
                <w:w w:val="100"/>
                <w:sz w:val="21"/>
                <w:highlight w:val="none"/>
              </w:rPr>
              <w:t>▲</w:t>
            </w:r>
            <w:r>
              <w:rPr>
                <w:rFonts w:hint="default" w:ascii="宋体" w:hAnsi="宋体" w:eastAsia="宋体"/>
                <w:b w:val="0"/>
                <w:color w:val="auto"/>
                <w:w w:val="100"/>
                <w:sz w:val="21"/>
                <w:highlight w:val="none"/>
              </w:rPr>
              <w:t>”项）完全满足招标文件要求</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得</w:t>
            </w:r>
            <w:r>
              <w:rPr>
                <w:rFonts w:hint="eastAsia" w:ascii="宋体" w:hAnsi="宋体"/>
                <w:b/>
                <w:color w:val="auto"/>
                <w:sz w:val="24"/>
                <w:szCs w:val="24"/>
                <w:highlight w:val="none"/>
                <w:lang w:val="en-US" w:eastAsia="zh-CN"/>
              </w:rPr>
              <w:t>16</w:t>
            </w:r>
            <w:r>
              <w:rPr>
                <w:rFonts w:hint="eastAsia" w:ascii="宋体" w:hAnsi="宋体"/>
                <w:b/>
                <w:color w:val="auto"/>
                <w:sz w:val="24"/>
                <w:szCs w:val="24"/>
                <w:highlight w:val="none"/>
              </w:rPr>
              <w:t>分</w:t>
            </w:r>
            <w:r>
              <w:rPr>
                <w:rFonts w:hint="eastAsia" w:ascii="宋体" w:hAnsi="宋体"/>
                <w:b/>
                <w:color w:val="auto"/>
                <w:sz w:val="24"/>
                <w:szCs w:val="24"/>
                <w:highlight w:val="none"/>
                <w:lang w:eastAsia="zh-CN"/>
              </w:rPr>
              <w:t>，</w:t>
            </w:r>
            <w:r>
              <w:rPr>
                <w:rFonts w:hint="eastAsia" w:ascii="宋体" w:hAnsi="宋体" w:eastAsia="宋体"/>
                <w:b w:val="0"/>
                <w:color w:val="auto"/>
                <w:w w:val="100"/>
                <w:sz w:val="21"/>
                <w:highlight w:val="none"/>
                <w:lang w:eastAsia="zh-CN"/>
              </w:rPr>
              <w:t>每有一项不满足或负偏离</w:t>
            </w:r>
            <w:r>
              <w:rPr>
                <w:rFonts w:hint="eastAsia" w:ascii="宋体" w:hAnsi="宋体" w:eastAsia="宋体"/>
                <w:b w:val="0"/>
                <w:color w:val="auto"/>
                <w:w w:val="100"/>
                <w:sz w:val="21"/>
                <w:highlight w:val="none"/>
                <w:lang w:val="en-US" w:eastAsia="zh-CN"/>
              </w:rPr>
              <w:t>的</w:t>
            </w:r>
            <w:r>
              <w:rPr>
                <w:rFonts w:hint="eastAsia" w:ascii="宋体" w:hAnsi="宋体" w:eastAsia="宋体"/>
                <w:b w:val="0"/>
                <w:color w:val="auto"/>
                <w:w w:val="100"/>
                <w:sz w:val="21"/>
                <w:highlight w:val="none"/>
                <w:lang w:eastAsia="zh-CN"/>
              </w:rPr>
              <w:t>扣</w:t>
            </w:r>
            <w:r>
              <w:rPr>
                <w:rFonts w:hint="eastAsia" w:ascii="宋体" w:hAnsi="宋体" w:eastAsia="宋体"/>
                <w:b w:val="0"/>
                <w:color w:val="auto"/>
                <w:w w:val="100"/>
                <w:sz w:val="21"/>
                <w:highlight w:val="none"/>
                <w:lang w:val="en-US" w:eastAsia="zh-CN"/>
              </w:rPr>
              <w:t>2</w:t>
            </w:r>
            <w:r>
              <w:rPr>
                <w:rFonts w:hint="eastAsia" w:ascii="宋体" w:hAnsi="宋体" w:eastAsia="宋体"/>
                <w:b w:val="0"/>
                <w:color w:val="auto"/>
                <w:w w:val="100"/>
                <w:sz w:val="21"/>
                <w:highlight w:val="none"/>
                <w:lang w:eastAsia="zh-CN"/>
              </w:rPr>
              <w:t>分，</w:t>
            </w:r>
            <w:r>
              <w:rPr>
                <w:rFonts w:hint="eastAsia" w:ascii="宋体" w:hAnsi="宋体" w:eastAsia="宋体"/>
                <w:b w:val="0"/>
                <w:color w:val="auto"/>
                <w:w w:val="100"/>
                <w:sz w:val="21"/>
                <w:highlight w:val="none"/>
                <w:lang w:val="en-US" w:eastAsia="zh-CN"/>
              </w:rPr>
              <w:t>直到</w:t>
            </w:r>
            <w:r>
              <w:rPr>
                <w:rFonts w:hint="eastAsia" w:ascii="宋体" w:hAnsi="宋体" w:eastAsia="宋体"/>
                <w:b w:val="0"/>
                <w:color w:val="auto"/>
                <w:w w:val="100"/>
                <w:sz w:val="21"/>
                <w:highlight w:val="none"/>
                <w:lang w:eastAsia="zh-CN"/>
              </w:rPr>
              <w:t>扣完为止</w:t>
            </w:r>
            <w:r>
              <w:rPr>
                <w:rFonts w:hint="eastAsia" w:ascii="宋体" w:hAnsi="宋体"/>
                <w:color w:val="auto"/>
                <w:sz w:val="24"/>
                <w:szCs w:val="24"/>
                <w:highlight w:val="none"/>
                <w:lang w:eastAsia="zh-CN"/>
              </w:rPr>
              <w:t>。</w:t>
            </w:r>
          </w:p>
          <w:p>
            <w:pPr>
              <w:keepNext w:val="0"/>
              <w:keepLines w:val="0"/>
              <w:widowControl/>
              <w:suppressLineNumbers w:val="0"/>
              <w:autoSpaceDE/>
              <w:autoSpaceDN/>
              <w:snapToGrid/>
              <w:spacing w:before="0" w:beforeAutospacing="0" w:after="0" w:afterAutospacing="0" w:line="240" w:lineRule="auto"/>
              <w:ind w:left="0" w:right="0" w:firstLine="0"/>
              <w:jc w:val="both"/>
              <w:rPr>
                <w:rFonts w:hint="eastAsia" w:ascii="Calibri" w:hAnsi="Calibri" w:eastAsia="宋体"/>
                <w:b w:val="0"/>
                <w:color w:val="auto"/>
                <w:w w:val="100"/>
                <w:sz w:val="21"/>
                <w:highlight w:val="none"/>
                <w:lang w:eastAsia="zh-CN"/>
              </w:rPr>
            </w:pPr>
            <w:r>
              <w:rPr>
                <w:rFonts w:hint="eastAsia" w:ascii="宋体" w:hAnsi="宋体"/>
                <w:color w:val="auto"/>
                <w:sz w:val="24"/>
                <w:szCs w:val="24"/>
                <w:highlight w:val="none"/>
              </w:rPr>
              <w:t>（3）</w:t>
            </w:r>
            <w:r>
              <w:rPr>
                <w:rFonts w:hint="default" w:ascii="宋体" w:hAnsi="宋体" w:eastAsia="宋体"/>
                <w:b w:val="0"/>
                <w:color w:val="auto"/>
                <w:w w:val="100"/>
                <w:sz w:val="21"/>
                <w:highlight w:val="none"/>
              </w:rPr>
              <w:t>一般技术参数（未标“</w:t>
            </w:r>
            <w:r>
              <w:rPr>
                <w:rFonts w:hint="eastAsia" w:ascii="宋体" w:hAnsi="宋体" w:eastAsia="宋体" w:cs="宋体"/>
                <w:b w:val="0"/>
                <w:color w:val="auto"/>
                <w:w w:val="100"/>
                <w:sz w:val="21"/>
                <w:highlight w:val="none"/>
              </w:rPr>
              <w:t>▲</w:t>
            </w:r>
            <w:r>
              <w:rPr>
                <w:rFonts w:hint="eastAsia" w:ascii="宋体" w:hAnsi="宋体" w:eastAsia="宋体"/>
                <w:b w:val="0"/>
                <w:color w:val="auto"/>
                <w:w w:val="100"/>
                <w:sz w:val="21"/>
                <w:highlight w:val="none"/>
                <w:lang w:val="en-US" w:eastAsia="zh-CN"/>
              </w:rPr>
              <w:t>”</w:t>
            </w:r>
            <w:r>
              <w:rPr>
                <w:rFonts w:hint="default" w:ascii="宋体" w:hAnsi="宋体" w:eastAsia="宋体"/>
                <w:b w:val="0"/>
                <w:color w:val="auto"/>
                <w:w w:val="100"/>
                <w:sz w:val="21"/>
                <w:highlight w:val="none"/>
              </w:rPr>
              <w:t>项）</w:t>
            </w:r>
            <w:r>
              <w:rPr>
                <w:rFonts w:hint="eastAsia" w:ascii="宋体" w:hAnsi="宋体" w:eastAsia="宋体"/>
                <w:b w:val="0"/>
                <w:color w:val="auto"/>
                <w:w w:val="100"/>
                <w:sz w:val="21"/>
                <w:highlight w:val="none"/>
                <w:lang w:eastAsia="zh-CN"/>
              </w:rPr>
              <w:t>，</w:t>
            </w:r>
            <w:r>
              <w:rPr>
                <w:rFonts w:hint="eastAsia" w:ascii="宋体" w:hAnsi="宋体" w:eastAsia="宋体"/>
                <w:b w:val="0"/>
                <w:color w:val="auto"/>
                <w:w w:val="100"/>
                <w:sz w:val="21"/>
                <w:highlight w:val="none"/>
                <w:lang w:val="en-US" w:eastAsia="zh-CN"/>
              </w:rPr>
              <w:t>完全</w:t>
            </w:r>
            <w:r>
              <w:rPr>
                <w:rFonts w:hint="default" w:ascii="宋体" w:hAnsi="宋体" w:eastAsia="宋体"/>
                <w:b w:val="0"/>
                <w:color w:val="auto"/>
                <w:w w:val="100"/>
                <w:sz w:val="21"/>
                <w:highlight w:val="none"/>
              </w:rPr>
              <w:t>满足招标文件要求的得</w:t>
            </w:r>
            <w:r>
              <w:rPr>
                <w:rFonts w:hint="eastAsia" w:ascii="宋体" w:hAnsi="宋体" w:eastAsia="宋体"/>
                <w:b w:val="0"/>
                <w:color w:val="auto"/>
                <w:w w:val="100"/>
                <w:sz w:val="21"/>
                <w:highlight w:val="none"/>
                <w:lang w:val="en-US" w:eastAsia="zh-CN"/>
              </w:rPr>
              <w:t>5</w:t>
            </w:r>
            <w:r>
              <w:rPr>
                <w:rFonts w:hint="default" w:ascii="宋体" w:hAnsi="宋体" w:eastAsia="宋体"/>
                <w:b w:val="0"/>
                <w:color w:val="auto"/>
                <w:w w:val="100"/>
                <w:sz w:val="21"/>
                <w:highlight w:val="none"/>
              </w:rPr>
              <w:t>分，每有一项不满足或负偏离扣</w:t>
            </w:r>
            <w:r>
              <w:rPr>
                <w:rFonts w:hint="eastAsia" w:ascii="宋体" w:hAnsi="宋体" w:eastAsia="宋体"/>
                <w:b w:val="0"/>
                <w:color w:val="auto"/>
                <w:w w:val="100"/>
                <w:sz w:val="21"/>
                <w:highlight w:val="none"/>
                <w:lang w:val="en-US" w:eastAsia="zh-CN"/>
              </w:rPr>
              <w:t>的1</w:t>
            </w:r>
            <w:r>
              <w:rPr>
                <w:rFonts w:hint="default" w:ascii="宋体" w:hAnsi="宋体" w:eastAsia="宋体"/>
                <w:b w:val="0"/>
                <w:color w:val="auto"/>
                <w:w w:val="100"/>
                <w:sz w:val="21"/>
                <w:highlight w:val="none"/>
              </w:rPr>
              <w:t>分</w:t>
            </w:r>
            <w:r>
              <w:rPr>
                <w:rFonts w:hint="eastAsia" w:ascii="宋体" w:hAnsi="宋体" w:eastAsia="宋体"/>
                <w:b w:val="0"/>
                <w:color w:val="auto"/>
                <w:w w:val="100"/>
                <w:sz w:val="21"/>
                <w:highlight w:val="none"/>
                <w:lang w:eastAsia="zh-CN"/>
              </w:rPr>
              <w:t>，</w:t>
            </w:r>
            <w:r>
              <w:rPr>
                <w:rFonts w:hint="default" w:ascii="宋体" w:hAnsi="宋体" w:eastAsia="宋体"/>
                <w:b w:val="0"/>
                <w:color w:val="auto"/>
                <w:w w:val="100"/>
                <w:sz w:val="21"/>
                <w:highlight w:val="none"/>
              </w:rPr>
              <w:t>分值扣完为止。</w:t>
            </w:r>
          </w:p>
        </w:tc>
      </w:tr>
      <w:tr>
        <w:tblPrEx>
          <w:tblCellMar>
            <w:top w:w="0" w:type="dxa"/>
            <w:left w:w="0" w:type="dxa"/>
            <w:bottom w:w="0" w:type="dxa"/>
            <w:right w:w="0" w:type="dxa"/>
          </w:tblCellMar>
        </w:tblPrEx>
        <w:trPr>
          <w:gridAfter w:val="1"/>
          <w:wAfter w:w="3155" w:type="dxa"/>
          <w:trHeight w:val="2488" w:hRule="atLeast"/>
        </w:trPr>
        <w:tc>
          <w:tcPr>
            <w:tcW w:w="109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Calibri" w:eastAsia="宋体"/>
                <w:b w:val="0"/>
                <w:color w:val="auto"/>
                <w:w w:val="100"/>
                <w:sz w:val="21"/>
                <w:highlight w:val="none"/>
              </w:rPr>
            </w:pPr>
          </w:p>
        </w:tc>
        <w:tc>
          <w:tcPr>
            <w:tcW w:w="1405"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leftChars="0" w:right="0" w:firstLine="0" w:firstLineChars="0"/>
              <w:jc w:val="center"/>
              <w:rPr>
                <w:rFonts w:hint="eastAsia" w:ascii="宋体" w:hAnsi="Calibri" w:eastAsia="宋体"/>
                <w:b w:val="0"/>
                <w:color w:val="auto"/>
                <w:w w:val="100"/>
                <w:sz w:val="21"/>
                <w:highlight w:val="none"/>
              </w:rPr>
            </w:pPr>
          </w:p>
          <w:p>
            <w:pPr>
              <w:keepNext w:val="0"/>
              <w:keepLines w:val="0"/>
              <w:widowControl/>
              <w:suppressLineNumbers w:val="0"/>
              <w:autoSpaceDE/>
              <w:autoSpaceDN/>
              <w:snapToGrid/>
              <w:spacing w:before="0" w:beforeAutospacing="0" w:after="0" w:afterAutospacing="0" w:line="240" w:lineRule="auto"/>
              <w:ind w:left="0" w:leftChars="0" w:right="0" w:firstLine="0" w:firstLineChars="0"/>
              <w:jc w:val="center"/>
              <w:rPr>
                <w:rFonts w:hint="eastAsia" w:ascii="宋体" w:hAnsi="Calibri" w:eastAsia="宋体"/>
                <w:b w:val="0"/>
                <w:color w:val="auto"/>
                <w:w w:val="100"/>
                <w:sz w:val="21"/>
                <w:highlight w:val="none"/>
              </w:rPr>
            </w:pPr>
          </w:p>
          <w:p>
            <w:pPr>
              <w:keepNext w:val="0"/>
              <w:keepLines w:val="0"/>
              <w:suppressLineNumbers w:val="0"/>
              <w:spacing w:before="0" w:beforeAutospacing="0" w:after="0" w:afterAutospacing="0" w:line="360" w:lineRule="auto"/>
              <w:ind w:left="0" w:right="0"/>
              <w:jc w:val="center"/>
              <w:rPr>
                <w:rFonts w:hint="eastAsia" w:ascii="宋体" w:hAnsi="宋体"/>
                <w:bCs/>
                <w:color w:val="auto"/>
                <w:sz w:val="24"/>
                <w:szCs w:val="24"/>
                <w:highlight w:val="none"/>
                <w:lang w:val="en-US" w:eastAsia="zh-CN"/>
              </w:rPr>
            </w:pPr>
          </w:p>
          <w:p>
            <w:pPr>
              <w:keepNext w:val="0"/>
              <w:keepLines w:val="0"/>
              <w:suppressLineNumbers w:val="0"/>
              <w:spacing w:before="0" w:beforeAutospacing="0" w:after="0" w:afterAutospacing="0" w:line="360" w:lineRule="auto"/>
              <w:ind w:left="0" w:right="0"/>
              <w:jc w:val="both"/>
              <w:rPr>
                <w:rFonts w:hint="default" w:ascii="宋体" w:hAnsi="宋体"/>
                <w:bCs/>
                <w:color w:val="auto"/>
                <w:sz w:val="24"/>
                <w:szCs w:val="24"/>
                <w:highlight w:val="none"/>
                <w:lang w:val="en-US" w:eastAsia="zh-CN"/>
              </w:rPr>
            </w:pPr>
          </w:p>
          <w:p>
            <w:pPr>
              <w:keepNext w:val="0"/>
              <w:keepLines w:val="0"/>
              <w:suppressLineNumbers w:val="0"/>
              <w:spacing w:before="0" w:beforeAutospacing="0" w:after="0" w:afterAutospacing="0" w:line="360" w:lineRule="auto"/>
              <w:ind w:left="0" w:right="0"/>
              <w:jc w:val="center"/>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投标方案评价</w:t>
            </w:r>
          </w:p>
          <w:p>
            <w:pPr>
              <w:keepNext w:val="0"/>
              <w:keepLines w:val="0"/>
              <w:suppressLineNumbers w:val="0"/>
              <w:spacing w:before="0" w:beforeAutospacing="0" w:after="0" w:afterAutospacing="0" w:line="360" w:lineRule="auto"/>
              <w:ind w:left="0" w:right="0"/>
              <w:jc w:val="center"/>
              <w:rPr>
                <w:rFonts w:hint="eastAsia" w:ascii="宋体" w:hAnsi="宋体"/>
                <w:bCs/>
                <w:color w:val="auto"/>
                <w:sz w:val="24"/>
                <w:szCs w:val="24"/>
                <w:highlight w:val="none"/>
                <w:lang w:val="en-US" w:eastAsia="zh-CN"/>
              </w:rPr>
            </w:pPr>
            <w:r>
              <w:rPr>
                <w:rFonts w:hint="eastAsia" w:ascii="宋体" w:hAnsi="宋体"/>
                <w:b/>
                <w:bCs w:val="0"/>
                <w:color w:val="auto"/>
                <w:sz w:val="24"/>
                <w:szCs w:val="24"/>
                <w:highlight w:val="none"/>
                <w:lang w:val="en-US" w:eastAsia="zh-CN"/>
              </w:rPr>
              <w:t>（</w:t>
            </w:r>
            <w:r>
              <w:rPr>
                <w:rFonts w:hint="eastAsia"/>
                <w:color w:val="auto"/>
                <w:highlight w:val="none"/>
                <w:lang w:val="en-US" w:eastAsia="zh-CN"/>
              </w:rPr>
              <w:t>12</w:t>
            </w:r>
            <w:r>
              <w:rPr>
                <w:rFonts w:hint="eastAsia" w:ascii="宋体" w:hAnsi="宋体"/>
                <w:b/>
                <w:bCs w:val="0"/>
                <w:color w:val="auto"/>
                <w:sz w:val="24"/>
                <w:szCs w:val="24"/>
                <w:highlight w:val="none"/>
                <w:lang w:val="en-US" w:eastAsia="zh-CN"/>
              </w:rPr>
              <w:t>分）</w:t>
            </w:r>
          </w:p>
          <w:p>
            <w:pPr>
              <w:keepNext w:val="0"/>
              <w:keepLines w:val="0"/>
              <w:suppressLineNumbers w:val="0"/>
              <w:spacing w:before="0" w:beforeAutospacing="0" w:after="0" w:afterAutospacing="0" w:line="360" w:lineRule="auto"/>
              <w:ind w:left="0" w:right="0"/>
              <w:jc w:val="center"/>
              <w:rPr>
                <w:rFonts w:hint="eastAsia" w:ascii="宋体" w:hAnsi="宋体"/>
                <w:bCs/>
                <w:color w:val="auto"/>
                <w:sz w:val="24"/>
                <w:szCs w:val="24"/>
                <w:highlight w:val="none"/>
                <w:lang w:val="en-US" w:eastAsia="zh-CN"/>
              </w:rPr>
            </w:pPr>
          </w:p>
          <w:p>
            <w:pPr>
              <w:pStyle w:val="29"/>
              <w:keepNext w:val="0"/>
              <w:keepLines w:val="0"/>
              <w:suppressLineNumbers w:val="0"/>
              <w:spacing w:before="0" w:beforeAutospacing="0" w:after="0" w:afterAutospacing="0"/>
              <w:ind w:left="0" w:right="0"/>
              <w:rPr>
                <w:rFonts w:hint="default"/>
                <w:color w:val="auto"/>
                <w:szCs w:val="20"/>
                <w:highlight w:val="none"/>
              </w:rPr>
            </w:pPr>
          </w:p>
          <w:p>
            <w:pPr>
              <w:keepNext w:val="0"/>
              <w:keepLines w:val="0"/>
              <w:widowControl/>
              <w:suppressLineNumbers w:val="0"/>
              <w:autoSpaceDE/>
              <w:autoSpaceDN/>
              <w:snapToGrid/>
              <w:spacing w:before="0" w:beforeAutospacing="0" w:after="0" w:afterAutospacing="0" w:line="240" w:lineRule="auto"/>
              <w:ind w:left="0" w:right="0" w:firstLine="0"/>
              <w:jc w:val="center"/>
              <w:rPr>
                <w:rFonts w:hint="eastAsia" w:ascii="宋体" w:hAnsi="宋体" w:eastAsia="宋体"/>
                <w:b w:val="0"/>
                <w:color w:val="auto"/>
                <w:w w:val="100"/>
                <w:sz w:val="21"/>
                <w:highlight w:val="none"/>
                <w:lang w:val="en-US" w:eastAsia="zh-CN"/>
              </w:rPr>
            </w:pPr>
          </w:p>
          <w:p>
            <w:pPr>
              <w:keepNext w:val="0"/>
              <w:keepLines w:val="0"/>
              <w:widowControl/>
              <w:suppressLineNumbers w:val="0"/>
              <w:autoSpaceDE/>
              <w:autoSpaceDN/>
              <w:snapToGrid/>
              <w:spacing w:before="0" w:beforeAutospacing="0" w:after="0" w:afterAutospacing="0" w:line="240" w:lineRule="auto"/>
              <w:ind w:left="0" w:leftChars="0" w:right="0" w:firstLine="0" w:firstLineChars="0"/>
              <w:jc w:val="center"/>
              <w:rPr>
                <w:rFonts w:hint="default" w:ascii="宋体" w:hAnsi="宋体" w:eastAsia="宋体"/>
                <w:b w:val="0"/>
                <w:color w:val="auto"/>
                <w:w w:val="100"/>
                <w:sz w:val="21"/>
                <w:highlight w:val="none"/>
              </w:rPr>
            </w:pPr>
          </w:p>
        </w:tc>
        <w:tc>
          <w:tcPr>
            <w:tcW w:w="381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cs="Arial" w:eastAsiaTheme="minorEastAsia"/>
                <w:b/>
                <w:color w:val="auto"/>
                <w:kern w:val="0"/>
                <w:sz w:val="24"/>
                <w:szCs w:val="24"/>
                <w:highlight w:val="none"/>
                <w:lang w:val="en-US" w:eastAsia="zh-CN" w:bidi="ar-SA"/>
              </w:rPr>
            </w:pPr>
            <w:r>
              <w:rPr>
                <w:rFonts w:hint="eastAsia" w:ascii="宋体" w:hAnsi="宋体" w:cs="Arial"/>
                <w:color w:val="auto"/>
                <w:sz w:val="24"/>
                <w:szCs w:val="24"/>
                <w:highlight w:val="none"/>
                <w:lang w:val="en-US" w:eastAsia="zh-CN"/>
              </w:rPr>
              <w:t>情况一：</w:t>
            </w:r>
            <w:r>
              <w:rPr>
                <w:rFonts w:hint="eastAsia" w:ascii="宋体" w:hAnsi="宋体" w:cs="Arial"/>
                <w:color w:val="auto"/>
                <w:sz w:val="24"/>
                <w:szCs w:val="24"/>
                <w:highlight w:val="none"/>
              </w:rPr>
              <w:t>根据投标方案的总体设计、建设方案、软件实施方案等进行评价，详细阐述实施完成之后整个系统的体系架构、功能模块、实施思路及计划等。</w:t>
            </w:r>
          </w:p>
        </w:tc>
        <w:tc>
          <w:tcPr>
            <w:tcW w:w="3309" w:type="dxa"/>
            <w:tcBorders>
              <w:top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jc w:val="left"/>
              <w:rPr>
                <w:rFonts w:hint="default" w:ascii="宋体" w:hAnsi="宋体" w:cs="Arial"/>
                <w:bCs/>
                <w:color w:val="auto"/>
                <w:kern w:val="0"/>
                <w:sz w:val="24"/>
                <w:szCs w:val="24"/>
                <w:highlight w:val="none"/>
              </w:rPr>
            </w:pPr>
            <w:r>
              <w:rPr>
                <w:rFonts w:hint="eastAsia" w:ascii="宋体" w:hAnsi="宋体"/>
                <w:bCs/>
                <w:color w:val="auto"/>
                <w:sz w:val="24"/>
                <w:szCs w:val="24"/>
                <w:highlight w:val="none"/>
              </w:rPr>
              <w:t>（1）</w:t>
            </w:r>
            <w:r>
              <w:rPr>
                <w:rFonts w:hint="eastAsia" w:ascii="宋体" w:hAnsi="宋体" w:cs="Arial"/>
                <w:bCs/>
                <w:color w:val="auto"/>
                <w:kern w:val="0"/>
                <w:sz w:val="24"/>
                <w:szCs w:val="24"/>
                <w:highlight w:val="none"/>
              </w:rPr>
              <w:t>方案设计合理：</w:t>
            </w:r>
            <w:r>
              <w:rPr>
                <w:rFonts w:hint="eastAsia" w:ascii="宋体" w:hAnsi="宋体" w:cs="Arial"/>
                <w:bCs/>
                <w:color w:val="auto"/>
                <w:kern w:val="0"/>
                <w:sz w:val="24"/>
                <w:szCs w:val="24"/>
                <w:highlight w:val="none"/>
                <w:lang w:val="en-US" w:eastAsia="zh-CN"/>
              </w:rPr>
              <w:t>3</w:t>
            </w:r>
            <w:r>
              <w:rPr>
                <w:rFonts w:hint="eastAsia" w:ascii="宋体" w:hAnsi="宋体" w:cs="Arial"/>
                <w:bCs/>
                <w:color w:val="auto"/>
                <w:kern w:val="0"/>
                <w:sz w:val="24"/>
                <w:szCs w:val="24"/>
                <w:highlight w:val="none"/>
              </w:rPr>
              <w:t>分</w:t>
            </w:r>
          </w:p>
          <w:p>
            <w:pPr>
              <w:keepNext w:val="0"/>
              <w:keepLines w:val="0"/>
              <w:suppressLineNumbers w:val="0"/>
              <w:spacing w:before="0" w:beforeAutospacing="0" w:after="0" w:afterAutospacing="0" w:line="360" w:lineRule="auto"/>
              <w:ind w:left="0" w:right="0"/>
              <w:jc w:val="left"/>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（2）方案设计基本合理：</w:t>
            </w:r>
            <w:r>
              <w:rPr>
                <w:rFonts w:hint="eastAsia" w:ascii="宋体" w:hAnsi="宋体" w:cs="Arial"/>
                <w:bCs/>
                <w:color w:val="auto"/>
                <w:kern w:val="0"/>
                <w:sz w:val="24"/>
                <w:szCs w:val="24"/>
                <w:highlight w:val="none"/>
                <w:lang w:val="en-US" w:eastAsia="zh-CN"/>
              </w:rPr>
              <w:t>2</w:t>
            </w:r>
            <w:r>
              <w:rPr>
                <w:rFonts w:hint="eastAsia" w:ascii="宋体" w:hAnsi="宋体" w:cs="Arial"/>
                <w:bCs/>
                <w:color w:val="auto"/>
                <w:kern w:val="0"/>
                <w:sz w:val="24"/>
                <w:szCs w:val="24"/>
                <w:highlight w:val="none"/>
              </w:rPr>
              <w:t>分</w:t>
            </w:r>
          </w:p>
          <w:p>
            <w:pPr>
              <w:keepNext w:val="0"/>
              <w:keepLines w:val="0"/>
              <w:suppressLineNumbers w:val="0"/>
              <w:spacing w:before="0" w:beforeAutospacing="0" w:after="0" w:afterAutospacing="0" w:line="360" w:lineRule="auto"/>
              <w:ind w:left="0" w:right="0" w:firstLine="120" w:firstLineChars="50"/>
              <w:jc w:val="left"/>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(3</w:t>
            </w:r>
            <w:r>
              <w:rPr>
                <w:rFonts w:hint="eastAsia" w:ascii="宋体" w:hAnsi="宋体" w:cs="Arial"/>
                <w:bCs/>
                <w:color w:val="auto"/>
                <w:kern w:val="0"/>
                <w:sz w:val="24"/>
                <w:szCs w:val="24"/>
                <w:highlight w:val="none"/>
                <w:lang w:eastAsia="zh-CN"/>
              </w:rPr>
              <w:t>）</w:t>
            </w:r>
            <w:r>
              <w:rPr>
                <w:rFonts w:hint="eastAsia" w:ascii="宋体" w:hAnsi="宋体" w:cs="Arial"/>
                <w:bCs/>
                <w:color w:val="auto"/>
                <w:kern w:val="0"/>
                <w:sz w:val="24"/>
                <w:szCs w:val="24"/>
                <w:highlight w:val="none"/>
              </w:rPr>
              <w:t>方案设计不合理：</w:t>
            </w:r>
            <w:r>
              <w:rPr>
                <w:rFonts w:hint="eastAsia" w:ascii="宋体" w:hAnsi="宋体" w:cs="Arial"/>
                <w:bCs/>
                <w:color w:val="auto"/>
                <w:kern w:val="0"/>
                <w:sz w:val="24"/>
                <w:szCs w:val="24"/>
                <w:highlight w:val="none"/>
                <w:lang w:val="en-US" w:eastAsia="zh-CN"/>
              </w:rPr>
              <w:t>1</w:t>
            </w:r>
            <w:r>
              <w:rPr>
                <w:rFonts w:hint="eastAsia" w:ascii="宋体" w:hAnsi="宋体" w:cs="Arial"/>
                <w:bCs/>
                <w:color w:val="auto"/>
                <w:kern w:val="0"/>
                <w:sz w:val="24"/>
                <w:szCs w:val="24"/>
                <w:highlight w:val="none"/>
              </w:rPr>
              <w:t>分</w:t>
            </w:r>
          </w:p>
          <w:p>
            <w:pPr>
              <w:keepNext w:val="0"/>
              <w:keepLines w:val="0"/>
              <w:suppressLineNumbers w:val="0"/>
              <w:spacing w:before="0" w:beforeAutospacing="0" w:after="0" w:afterAutospacing="0" w:line="360" w:lineRule="auto"/>
              <w:ind w:left="0" w:right="0"/>
              <w:jc w:val="left"/>
              <w:rPr>
                <w:rFonts w:hint="default" w:ascii="宋体" w:hAnsi="宋体" w:eastAsiaTheme="minorEastAsia" w:cstheme="minorBidi"/>
                <w:bCs/>
                <w:color w:val="auto"/>
                <w:kern w:val="2"/>
                <w:sz w:val="24"/>
                <w:szCs w:val="24"/>
                <w:highlight w:val="none"/>
                <w:lang w:val="en-US" w:eastAsia="zh-CN" w:bidi="ar-SA"/>
              </w:rPr>
            </w:pPr>
            <w:r>
              <w:rPr>
                <w:rFonts w:hint="eastAsia" w:ascii="宋体" w:hAnsi="宋体" w:cs="Arial"/>
                <w:bCs/>
                <w:color w:val="auto"/>
                <w:kern w:val="0"/>
                <w:sz w:val="24"/>
                <w:szCs w:val="24"/>
                <w:highlight w:val="none"/>
              </w:rPr>
              <w:t>（4）未提供方案：</w:t>
            </w:r>
            <w:r>
              <w:rPr>
                <w:rFonts w:hint="default" w:ascii="宋体" w:hAnsi="宋体" w:cs="Arial"/>
                <w:bCs/>
                <w:color w:val="auto"/>
                <w:kern w:val="0"/>
                <w:sz w:val="24"/>
                <w:szCs w:val="24"/>
                <w:highlight w:val="none"/>
              </w:rPr>
              <w:t>0</w:t>
            </w:r>
            <w:r>
              <w:rPr>
                <w:rFonts w:hint="eastAsia" w:ascii="宋体" w:hAnsi="宋体" w:cs="Arial"/>
                <w:bCs/>
                <w:color w:val="auto"/>
                <w:kern w:val="0"/>
                <w:sz w:val="24"/>
                <w:szCs w:val="24"/>
                <w:highlight w:val="none"/>
              </w:rPr>
              <w:t>分</w:t>
            </w:r>
          </w:p>
        </w:tc>
      </w:tr>
      <w:tr>
        <w:tblPrEx>
          <w:tblCellMar>
            <w:top w:w="0" w:type="dxa"/>
            <w:left w:w="0" w:type="dxa"/>
            <w:bottom w:w="0" w:type="dxa"/>
            <w:right w:w="0" w:type="dxa"/>
          </w:tblCellMar>
        </w:tblPrEx>
        <w:trPr>
          <w:gridAfter w:val="1"/>
          <w:wAfter w:w="3155" w:type="dxa"/>
          <w:trHeight w:val="567" w:hRule="atLeast"/>
        </w:trPr>
        <w:tc>
          <w:tcPr>
            <w:tcW w:w="109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Calibri" w:eastAsia="宋体"/>
                <w:b w:val="0"/>
                <w:color w:val="auto"/>
                <w:w w:val="100"/>
                <w:sz w:val="21"/>
                <w:highlight w:val="none"/>
              </w:rPr>
            </w:pPr>
          </w:p>
        </w:tc>
        <w:tc>
          <w:tcPr>
            <w:tcW w:w="1405"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pStyle w:val="29"/>
              <w:keepNext w:val="0"/>
              <w:keepLines w:val="0"/>
              <w:suppressLineNumbers w:val="0"/>
              <w:spacing w:before="0" w:beforeAutospacing="0" w:after="0" w:afterAutospacing="0"/>
              <w:ind w:left="0" w:right="0"/>
              <w:rPr>
                <w:rFonts w:hint="default"/>
                <w:color w:val="auto"/>
                <w:szCs w:val="20"/>
                <w:highlight w:val="none"/>
              </w:rPr>
            </w:pPr>
          </w:p>
        </w:tc>
        <w:tc>
          <w:tcPr>
            <w:tcW w:w="381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cs="Arial" w:eastAsiaTheme="minorEastAsia"/>
                <w:color w:val="auto"/>
                <w:kern w:val="2"/>
                <w:sz w:val="24"/>
                <w:szCs w:val="24"/>
                <w:highlight w:val="none"/>
                <w:lang w:val="en-US" w:eastAsia="zh-CN" w:bidi="ar-SA"/>
              </w:rPr>
            </w:pPr>
            <w:r>
              <w:rPr>
                <w:rFonts w:hint="eastAsia" w:ascii="宋体" w:hAnsi="宋体" w:cs="Arial"/>
                <w:color w:val="auto"/>
                <w:sz w:val="24"/>
                <w:szCs w:val="24"/>
                <w:highlight w:val="none"/>
                <w:lang w:val="en-US" w:eastAsia="zh-CN"/>
              </w:rPr>
              <w:t>情况二：</w:t>
            </w:r>
            <w:r>
              <w:rPr>
                <w:rFonts w:hint="eastAsia" w:ascii="宋体" w:hAnsi="宋体" w:cs="Arial"/>
                <w:color w:val="auto"/>
                <w:sz w:val="24"/>
                <w:szCs w:val="24"/>
                <w:highlight w:val="none"/>
              </w:rPr>
              <w:t>根据投标方案与需求的吻合程度进行评价，包括方案的科学性、先进性、可行性和扩展性，方案是否完整，方案是否科学合理、安全严密、具有一定的前瞻性，是否有独到的优势；根据方案吻合程度酌情在0-3分之间给分。</w:t>
            </w:r>
          </w:p>
        </w:tc>
        <w:tc>
          <w:tcPr>
            <w:tcW w:w="3309" w:type="dxa"/>
            <w:tcBorders>
              <w:top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numPr>
                <w:ilvl w:val="0"/>
                <w:numId w:val="3"/>
              </w:numPr>
              <w:suppressLineNumbers w:val="0"/>
              <w:spacing w:before="0" w:beforeAutospacing="0" w:after="0" w:afterAutospacing="0" w:line="360" w:lineRule="auto"/>
              <w:ind w:left="0" w:right="0"/>
              <w:jc w:val="left"/>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方案完整、科学、严密、先进：3分</w:t>
            </w:r>
          </w:p>
          <w:p>
            <w:pPr>
              <w:keepNext w:val="0"/>
              <w:keepLines w:val="0"/>
              <w:numPr>
                <w:ilvl w:val="0"/>
                <w:numId w:val="3"/>
              </w:numPr>
              <w:suppressLineNumbers w:val="0"/>
              <w:spacing w:before="0" w:beforeAutospacing="0" w:after="0" w:afterAutospacing="0" w:line="360" w:lineRule="auto"/>
              <w:ind w:left="0" w:right="0"/>
              <w:jc w:val="left"/>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方案基本完整：2分</w:t>
            </w:r>
          </w:p>
          <w:p>
            <w:pPr>
              <w:keepNext w:val="0"/>
              <w:keepLines w:val="0"/>
              <w:numPr>
                <w:ilvl w:val="0"/>
                <w:numId w:val="3"/>
              </w:numPr>
              <w:suppressLineNumbers w:val="0"/>
              <w:spacing w:before="0" w:beforeAutospacing="0" w:after="0" w:afterAutospacing="0" w:line="360" w:lineRule="auto"/>
              <w:ind w:left="0" w:right="0"/>
              <w:jc w:val="left"/>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方案不完整、不严密</w:t>
            </w:r>
            <w:r>
              <w:rPr>
                <w:rFonts w:hint="eastAsia" w:ascii="宋体" w:hAnsi="宋体" w:cs="Arial"/>
                <w:bCs/>
                <w:color w:val="auto"/>
                <w:kern w:val="0"/>
                <w:sz w:val="24"/>
                <w:szCs w:val="24"/>
                <w:highlight w:val="none"/>
                <w:lang w:eastAsia="zh-CN"/>
              </w:rPr>
              <w:t>：</w:t>
            </w:r>
            <w:r>
              <w:rPr>
                <w:rFonts w:hint="eastAsia" w:ascii="宋体" w:hAnsi="宋体" w:cs="Arial"/>
                <w:bCs/>
                <w:color w:val="auto"/>
                <w:kern w:val="0"/>
                <w:sz w:val="24"/>
                <w:szCs w:val="24"/>
                <w:highlight w:val="none"/>
              </w:rPr>
              <w:t>1分</w:t>
            </w:r>
          </w:p>
          <w:p>
            <w:pPr>
              <w:keepNext w:val="0"/>
              <w:keepLines w:val="0"/>
              <w:numPr>
                <w:ilvl w:val="0"/>
                <w:numId w:val="3"/>
              </w:numPr>
              <w:suppressLineNumbers w:val="0"/>
              <w:spacing w:before="0" w:beforeAutospacing="0" w:after="0" w:afterAutospacing="0" w:line="360" w:lineRule="auto"/>
              <w:ind w:left="0" w:right="0"/>
              <w:jc w:val="left"/>
              <w:rPr>
                <w:rFonts w:hint="default" w:ascii="宋体" w:hAnsi="宋体" w:cs="Arial" w:eastAsiaTheme="minorEastAsia"/>
                <w:bCs/>
                <w:color w:val="auto"/>
                <w:kern w:val="0"/>
                <w:sz w:val="24"/>
                <w:szCs w:val="24"/>
                <w:highlight w:val="none"/>
                <w:lang w:val="en-US" w:eastAsia="zh-CN" w:bidi="ar-SA"/>
              </w:rPr>
            </w:pPr>
            <w:r>
              <w:rPr>
                <w:rFonts w:hint="eastAsia" w:ascii="宋体" w:hAnsi="宋体" w:cs="Arial"/>
                <w:bCs/>
                <w:color w:val="auto"/>
                <w:kern w:val="0"/>
                <w:sz w:val="24"/>
                <w:szCs w:val="24"/>
                <w:highlight w:val="none"/>
              </w:rPr>
              <w:t>未提供方案：0分</w:t>
            </w:r>
          </w:p>
        </w:tc>
      </w:tr>
      <w:tr>
        <w:tblPrEx>
          <w:tblCellMar>
            <w:top w:w="0" w:type="dxa"/>
            <w:left w:w="0" w:type="dxa"/>
            <w:bottom w:w="0" w:type="dxa"/>
            <w:right w:w="0" w:type="dxa"/>
          </w:tblCellMar>
        </w:tblPrEx>
        <w:trPr>
          <w:gridAfter w:val="1"/>
          <w:wAfter w:w="3155" w:type="dxa"/>
          <w:trHeight w:val="90" w:hRule="atLeast"/>
        </w:trPr>
        <w:tc>
          <w:tcPr>
            <w:tcW w:w="109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leftChars="0" w:right="0" w:firstLine="0" w:firstLineChars="0"/>
              <w:jc w:val="center"/>
              <w:rPr>
                <w:rFonts w:hint="default" w:ascii="宋体" w:hAnsi="宋体" w:eastAsia="宋体"/>
                <w:b w:val="0"/>
                <w:color w:val="auto"/>
                <w:w w:val="100"/>
                <w:sz w:val="21"/>
                <w:highlight w:val="none"/>
              </w:rPr>
            </w:pPr>
          </w:p>
        </w:tc>
        <w:tc>
          <w:tcPr>
            <w:tcW w:w="381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bCs/>
                <w:color w:val="auto"/>
                <w:sz w:val="24"/>
                <w:szCs w:val="24"/>
                <w:highlight w:val="none"/>
                <w:lang w:val="en-US" w:eastAsia="zh-CN"/>
              </w:rPr>
            </w:pPr>
            <w:r>
              <w:rPr>
                <w:rFonts w:hint="eastAsia" w:ascii="宋体" w:hAnsi="宋体" w:cs="Arial"/>
                <w:color w:val="auto"/>
                <w:sz w:val="24"/>
                <w:szCs w:val="24"/>
                <w:highlight w:val="none"/>
                <w:lang w:val="en-US" w:eastAsia="zh-CN"/>
              </w:rPr>
              <w:t>情况三：</w:t>
            </w:r>
            <w:r>
              <w:rPr>
                <w:rFonts w:hint="eastAsia" w:ascii="宋体" w:hAnsi="宋体"/>
                <w:bCs/>
                <w:color w:val="auto"/>
                <w:sz w:val="24"/>
                <w:szCs w:val="24"/>
                <w:highlight w:val="none"/>
              </w:rPr>
              <w:t>根据投标方案点对点应答是否详尽、明晰，是否满足招标文件要求，投标文件编制是否完整、格式规范、内容齐全、表述准确、条理清晰，内容无前后矛盾，符合招标文件要求；根据方案符合度酌情在0-3分之间给分。</w:t>
            </w:r>
          </w:p>
        </w:tc>
        <w:tc>
          <w:tcPr>
            <w:tcW w:w="3309" w:type="dxa"/>
            <w:tcBorders>
              <w:top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numPr>
                <w:ilvl w:val="0"/>
                <w:numId w:val="4"/>
              </w:numPr>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方案符合程度高：3分</w:t>
            </w:r>
          </w:p>
          <w:p>
            <w:pPr>
              <w:keepNext w:val="0"/>
              <w:keepLines w:val="0"/>
              <w:numPr>
                <w:ilvl w:val="0"/>
                <w:numId w:val="4"/>
              </w:numPr>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方案符合程度一般：2分</w:t>
            </w:r>
          </w:p>
          <w:p>
            <w:pPr>
              <w:keepNext w:val="0"/>
              <w:keepLines w:val="0"/>
              <w:numPr>
                <w:ilvl w:val="0"/>
                <w:numId w:val="4"/>
              </w:numPr>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方案符合程度低：1分</w:t>
            </w:r>
          </w:p>
          <w:p>
            <w:pPr>
              <w:keepNext w:val="0"/>
              <w:keepLines w:val="0"/>
              <w:numPr>
                <w:ilvl w:val="0"/>
                <w:numId w:val="4"/>
              </w:numPr>
              <w:suppressLineNumbers w:val="0"/>
              <w:spacing w:before="0" w:beforeAutospacing="0" w:after="0" w:afterAutospacing="0" w:line="360" w:lineRule="auto"/>
              <w:ind w:left="0" w:right="0"/>
              <w:rPr>
                <w:rFonts w:hint="default" w:ascii="宋体" w:hAnsi="宋体" w:cs="Arial" w:eastAsiaTheme="minorEastAsia"/>
                <w:bCs/>
                <w:color w:val="auto"/>
                <w:kern w:val="0"/>
                <w:sz w:val="24"/>
                <w:szCs w:val="24"/>
                <w:highlight w:val="none"/>
                <w:lang w:val="en-US" w:eastAsia="zh-CN" w:bidi="ar-SA"/>
              </w:rPr>
            </w:pPr>
            <w:r>
              <w:rPr>
                <w:rFonts w:hint="eastAsia" w:ascii="宋体" w:hAnsi="宋体" w:cs="Arial"/>
                <w:bCs/>
                <w:color w:val="auto"/>
                <w:kern w:val="0"/>
                <w:sz w:val="24"/>
                <w:szCs w:val="24"/>
                <w:highlight w:val="none"/>
              </w:rPr>
              <w:t>方案不符合：0分</w:t>
            </w:r>
          </w:p>
        </w:tc>
      </w:tr>
      <w:tr>
        <w:tblPrEx>
          <w:tblCellMar>
            <w:top w:w="0" w:type="dxa"/>
            <w:left w:w="0" w:type="dxa"/>
            <w:bottom w:w="0" w:type="dxa"/>
            <w:right w:w="0" w:type="dxa"/>
          </w:tblCellMar>
        </w:tblPrEx>
        <w:trPr>
          <w:gridAfter w:val="1"/>
          <w:wAfter w:w="3155" w:type="dxa"/>
          <w:trHeight w:val="90" w:hRule="atLeast"/>
        </w:trPr>
        <w:tc>
          <w:tcPr>
            <w:tcW w:w="109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vMerge w:val="continue"/>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center"/>
              <w:rPr>
                <w:rFonts w:hint="default" w:ascii="宋体" w:hAnsi="宋体" w:eastAsia="宋体"/>
                <w:b w:val="0"/>
                <w:color w:val="auto"/>
                <w:w w:val="100"/>
                <w:sz w:val="21"/>
                <w:highlight w:val="none"/>
              </w:rPr>
            </w:pPr>
          </w:p>
        </w:tc>
        <w:tc>
          <w:tcPr>
            <w:tcW w:w="381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eastAsiaTheme="minorEastAsia" w:cstheme="minorBidi"/>
                <w:color w:val="auto"/>
                <w:kern w:val="2"/>
                <w:sz w:val="24"/>
                <w:szCs w:val="24"/>
                <w:highlight w:val="none"/>
                <w:lang w:val="en-US" w:eastAsia="zh-CN" w:bidi="ar-SA"/>
              </w:rPr>
            </w:pPr>
            <w:r>
              <w:rPr>
                <w:rFonts w:hint="eastAsia" w:ascii="宋体" w:hAnsi="宋体" w:cs="Arial"/>
                <w:color w:val="auto"/>
                <w:sz w:val="24"/>
                <w:szCs w:val="24"/>
                <w:highlight w:val="none"/>
                <w:lang w:val="en-US" w:eastAsia="zh-CN"/>
              </w:rPr>
              <w:t>情况四：</w:t>
            </w:r>
            <w:r>
              <w:rPr>
                <w:rFonts w:hint="eastAsia" w:ascii="宋体" w:hAnsi="宋体"/>
                <w:bCs/>
                <w:color w:val="auto"/>
                <w:sz w:val="24"/>
                <w:szCs w:val="24"/>
                <w:highlight w:val="none"/>
              </w:rPr>
              <w:t>根据投标方案项目建设思路、原则、特点、技术要求的理解情况，以及投标方案在确保阶段性任务实现的同时，是否统筹考虑了总体目标的实现进行评价。</w:t>
            </w:r>
          </w:p>
        </w:tc>
        <w:tc>
          <w:tcPr>
            <w:tcW w:w="3309" w:type="dxa"/>
            <w:tcBorders>
              <w:top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bCs/>
                <w:color w:val="auto"/>
                <w:sz w:val="24"/>
                <w:szCs w:val="24"/>
                <w:highlight w:val="none"/>
              </w:rPr>
              <w:t xml:space="preserve"> (1)</w:t>
            </w:r>
            <w:r>
              <w:rPr>
                <w:rFonts w:hint="eastAsia" w:ascii="宋体" w:hAnsi="宋体" w:cs="Arial"/>
                <w:bCs/>
                <w:color w:val="auto"/>
                <w:kern w:val="0"/>
                <w:sz w:val="24"/>
                <w:szCs w:val="24"/>
                <w:highlight w:val="none"/>
              </w:rPr>
              <w:t>思路先进，兼顾总体目标：3分</w:t>
            </w:r>
          </w:p>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 xml:space="preserve"> (2)思路落后，技术要求理解差：2分</w:t>
            </w:r>
          </w:p>
          <w:p>
            <w:pPr>
              <w:keepNext w:val="0"/>
              <w:keepLines w:val="0"/>
              <w:suppressLineNumbers w:val="0"/>
              <w:spacing w:before="0" w:beforeAutospacing="0" w:after="0" w:afterAutospacing="0" w:line="360" w:lineRule="auto"/>
              <w:ind w:left="0" w:right="0" w:firstLine="120" w:firstLineChars="50"/>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(3) 思路不可行，未兼顾总体目标：1分</w:t>
            </w:r>
          </w:p>
          <w:p>
            <w:pPr>
              <w:keepNext w:val="0"/>
              <w:keepLines w:val="0"/>
              <w:suppressLineNumbers w:val="0"/>
              <w:spacing w:before="0" w:beforeAutospacing="0" w:after="0" w:afterAutospacing="0" w:line="360" w:lineRule="auto"/>
              <w:ind w:left="0" w:right="0"/>
              <w:rPr>
                <w:rFonts w:hint="eastAsia" w:ascii="宋体" w:hAnsi="宋体" w:cs="Arial" w:eastAsiaTheme="minorEastAsia"/>
                <w:bCs/>
                <w:color w:val="auto"/>
                <w:kern w:val="0"/>
                <w:sz w:val="24"/>
                <w:szCs w:val="24"/>
                <w:highlight w:val="none"/>
                <w:lang w:val="en-US" w:eastAsia="zh-CN" w:bidi="ar-SA"/>
              </w:rPr>
            </w:pPr>
            <w:r>
              <w:rPr>
                <w:rFonts w:hint="eastAsia" w:ascii="宋体" w:hAnsi="宋体" w:cs="Arial"/>
                <w:bCs/>
                <w:color w:val="auto"/>
                <w:kern w:val="0"/>
                <w:sz w:val="24"/>
                <w:szCs w:val="24"/>
                <w:highlight w:val="none"/>
              </w:rPr>
              <w:t xml:space="preserve"> (4) 未提供投标方案：0分</w:t>
            </w:r>
          </w:p>
        </w:tc>
      </w:tr>
      <w:tr>
        <w:tblPrEx>
          <w:tblCellMar>
            <w:top w:w="0" w:type="dxa"/>
            <w:left w:w="0" w:type="dxa"/>
            <w:bottom w:w="0" w:type="dxa"/>
            <w:right w:w="0" w:type="dxa"/>
          </w:tblCellMar>
        </w:tblPrEx>
        <w:trPr>
          <w:trHeight w:val="980" w:hRule="atLeast"/>
        </w:trPr>
        <w:tc>
          <w:tcPr>
            <w:tcW w:w="109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jc w:val="both"/>
              <w:rPr>
                <w:rFonts w:hint="default" w:ascii="宋体" w:hAnsi="宋体"/>
                <w:bCs/>
                <w:color w:val="auto"/>
                <w:sz w:val="24"/>
                <w:szCs w:val="24"/>
                <w:highlight w:val="none"/>
              </w:rPr>
            </w:pPr>
            <w:r>
              <w:rPr>
                <w:rFonts w:hint="eastAsia" w:ascii="宋体" w:hAnsi="宋体"/>
                <w:bCs/>
                <w:color w:val="auto"/>
                <w:sz w:val="24"/>
                <w:szCs w:val="24"/>
                <w:highlight w:val="none"/>
              </w:rPr>
              <w:t>系统架构、设计方案评价</w:t>
            </w:r>
          </w:p>
          <w:p>
            <w:pPr>
              <w:keepNext w:val="0"/>
              <w:keepLines w:val="0"/>
              <w:suppressLineNumbers w:val="0"/>
              <w:spacing w:before="0" w:beforeAutospacing="0" w:after="0" w:afterAutospacing="0" w:line="360" w:lineRule="auto"/>
              <w:ind w:left="0" w:right="0"/>
              <w:jc w:val="center"/>
              <w:rPr>
                <w:rFonts w:hint="default" w:ascii="宋体" w:hAnsi="宋体" w:eastAsiaTheme="minorEastAsia" w:cstheme="minorBidi"/>
                <w:b/>
                <w:bCs/>
                <w:color w:val="auto"/>
                <w:kern w:val="2"/>
                <w:sz w:val="24"/>
                <w:szCs w:val="24"/>
                <w:highlight w:val="none"/>
                <w:lang w:val="en-US" w:eastAsia="zh-CN" w:bidi="ar-SA"/>
              </w:rPr>
            </w:pPr>
            <w:r>
              <w:rPr>
                <w:rFonts w:hint="eastAsia" w:ascii="宋体" w:hAnsi="宋体"/>
                <w:b/>
                <w:bCs/>
                <w:color w:val="auto"/>
                <w:sz w:val="24"/>
                <w:szCs w:val="24"/>
                <w:highlight w:val="none"/>
              </w:rPr>
              <w:t>（3分）</w:t>
            </w:r>
          </w:p>
        </w:tc>
        <w:tc>
          <w:tcPr>
            <w:tcW w:w="381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jc w:val="left"/>
              <w:rPr>
                <w:rFonts w:hint="eastAsia" w:ascii="宋体" w:hAnsi="宋体" w:eastAsiaTheme="minorEastAsia" w:cstheme="minorBidi"/>
                <w:b/>
                <w:bCs/>
                <w:color w:val="auto"/>
                <w:kern w:val="2"/>
                <w:sz w:val="24"/>
                <w:szCs w:val="24"/>
                <w:highlight w:val="none"/>
                <w:lang w:val="en-US" w:eastAsia="zh-CN" w:bidi="ar-SA"/>
              </w:rPr>
            </w:pPr>
            <w:r>
              <w:rPr>
                <w:rFonts w:hint="eastAsia" w:ascii="宋体" w:hAnsi="宋体"/>
                <w:bCs/>
                <w:color w:val="auto"/>
                <w:sz w:val="24"/>
                <w:szCs w:val="24"/>
                <w:highlight w:val="none"/>
              </w:rPr>
              <w:t>根据投标人提供的系统设计方案进行评价，包括方案的完整性、先进性、合理性、以及对招标要求的总体响应程度、配置细化程度等方面</w:t>
            </w:r>
            <w:r>
              <w:rPr>
                <w:rFonts w:hint="eastAsia"/>
                <w:color w:val="auto"/>
                <w:sz w:val="24"/>
                <w:szCs w:val="24"/>
                <w:highlight w:val="none"/>
              </w:rPr>
              <w:t>。</w:t>
            </w:r>
          </w:p>
        </w:tc>
        <w:tc>
          <w:tcPr>
            <w:tcW w:w="3309" w:type="dxa"/>
            <w:tcBorders>
              <w:top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bCs/>
                <w:color w:val="auto"/>
                <w:sz w:val="24"/>
                <w:szCs w:val="24"/>
                <w:highlight w:val="none"/>
              </w:rPr>
              <w:t>（1）</w:t>
            </w:r>
            <w:r>
              <w:rPr>
                <w:rFonts w:hint="eastAsia" w:ascii="宋体" w:hAnsi="宋体" w:cs="Arial"/>
                <w:bCs/>
                <w:color w:val="auto"/>
                <w:kern w:val="0"/>
                <w:sz w:val="24"/>
                <w:szCs w:val="24"/>
                <w:highlight w:val="none"/>
              </w:rPr>
              <w:t>方案全面合理：3分</w:t>
            </w:r>
          </w:p>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（2）方案基本合理：2分</w:t>
            </w:r>
          </w:p>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（3）方案不合理：1分</w:t>
            </w:r>
          </w:p>
          <w:p>
            <w:pPr>
              <w:keepNext w:val="0"/>
              <w:keepLines w:val="0"/>
              <w:suppressLineNumbers w:val="0"/>
              <w:spacing w:before="0" w:beforeAutospacing="0" w:after="0" w:afterAutospacing="0" w:line="360" w:lineRule="auto"/>
              <w:ind w:left="0" w:right="0"/>
              <w:rPr>
                <w:rFonts w:hint="eastAsia" w:ascii="宋体" w:hAnsi="宋体" w:eastAsiaTheme="minorEastAsia" w:cstheme="minorBidi"/>
                <w:bCs/>
                <w:color w:val="auto"/>
                <w:kern w:val="2"/>
                <w:sz w:val="24"/>
                <w:szCs w:val="24"/>
                <w:highlight w:val="none"/>
                <w:lang w:val="en-US" w:eastAsia="zh-CN" w:bidi="ar-SA"/>
              </w:rPr>
            </w:pPr>
            <w:r>
              <w:rPr>
                <w:rFonts w:hint="eastAsia" w:ascii="宋体" w:hAnsi="宋体" w:cs="Arial"/>
                <w:bCs/>
                <w:color w:val="auto"/>
                <w:kern w:val="0"/>
                <w:sz w:val="24"/>
                <w:szCs w:val="24"/>
                <w:highlight w:val="none"/>
              </w:rPr>
              <w:t>（4）未提供方案：0分</w:t>
            </w:r>
          </w:p>
        </w:tc>
        <w:tc>
          <w:tcPr>
            <w:tcW w:w="3155" w:type="dxa"/>
            <w:vMerge w:val="restart"/>
            <w:tcBorders>
              <w:top w:val="nil"/>
              <w:left w:val="single" w:color="auto"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rPr>
                <w:rFonts w:hint="eastAsia" w:ascii="宋体" w:hAnsi="宋体" w:cs="Arial" w:eastAsiaTheme="minorEastAsia"/>
                <w:bCs/>
                <w:color w:val="auto"/>
                <w:kern w:val="0"/>
                <w:sz w:val="24"/>
                <w:szCs w:val="24"/>
                <w:highlight w:val="none"/>
                <w:lang w:val="en-US" w:eastAsia="zh-CN" w:bidi="ar-SA"/>
              </w:rPr>
            </w:pPr>
          </w:p>
        </w:tc>
      </w:tr>
      <w:tr>
        <w:tblPrEx>
          <w:tblCellMar>
            <w:top w:w="0" w:type="dxa"/>
            <w:left w:w="0" w:type="dxa"/>
            <w:bottom w:w="0" w:type="dxa"/>
            <w:right w:w="0" w:type="dxa"/>
          </w:tblCellMar>
        </w:tblPrEx>
        <w:trPr>
          <w:trHeight w:val="980" w:hRule="atLeast"/>
        </w:trPr>
        <w:tc>
          <w:tcPr>
            <w:tcW w:w="1090" w:type="dxa"/>
            <w:vMerge w:val="continue"/>
            <w:tcBorders>
              <w:left w:val="single" w:color="000000" w:sz="4" w:space="0"/>
              <w:right w:val="single" w:color="000000" w:sz="4" w:space="0"/>
            </w:tcBorders>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both"/>
              <w:rPr>
                <w:rFonts w:hint="default" w:ascii="宋体" w:hAnsi="宋体"/>
                <w:bCs/>
                <w:color w:val="auto"/>
                <w:sz w:val="24"/>
                <w:szCs w:val="24"/>
                <w:highlight w:val="none"/>
              </w:rPr>
            </w:pPr>
            <w:r>
              <w:rPr>
                <w:rFonts w:hint="eastAsia" w:ascii="宋体" w:hAnsi="宋体"/>
                <w:bCs/>
                <w:color w:val="auto"/>
                <w:sz w:val="24"/>
                <w:szCs w:val="24"/>
                <w:highlight w:val="none"/>
                <w:lang w:val="en-US" w:eastAsia="zh-CN"/>
              </w:rPr>
              <w:t>数据库兼容性</w:t>
            </w:r>
            <w:r>
              <w:rPr>
                <w:rFonts w:hint="eastAsia" w:ascii="宋体" w:hAnsi="宋体"/>
                <w:bCs/>
                <w:color w:val="auto"/>
                <w:sz w:val="24"/>
                <w:szCs w:val="24"/>
                <w:highlight w:val="none"/>
              </w:rPr>
              <w:t>评价</w:t>
            </w:r>
          </w:p>
          <w:p>
            <w:pPr>
              <w:keepNext w:val="0"/>
              <w:keepLines w:val="0"/>
              <w:suppressLineNumbers w:val="0"/>
              <w:spacing w:before="0" w:beforeAutospacing="0" w:after="0" w:afterAutospacing="0" w:line="360" w:lineRule="auto"/>
              <w:ind w:left="0" w:right="0"/>
              <w:jc w:val="center"/>
              <w:rPr>
                <w:rFonts w:hint="default" w:ascii="宋体" w:hAnsi="宋体" w:eastAsiaTheme="minorEastAsia" w:cstheme="minorBidi"/>
                <w:b/>
                <w:bCs/>
                <w:color w:val="auto"/>
                <w:kern w:val="2"/>
                <w:sz w:val="24"/>
                <w:szCs w:val="24"/>
                <w:highlight w:val="none"/>
                <w:lang w:val="en-US" w:eastAsia="zh-CN" w:bidi="ar-SA"/>
              </w:rPr>
            </w:pPr>
            <w:r>
              <w:rPr>
                <w:rFonts w:hint="eastAsia" w:ascii="宋体" w:hAnsi="宋体"/>
                <w:b/>
                <w:color w:val="auto"/>
                <w:sz w:val="24"/>
                <w:szCs w:val="24"/>
                <w:highlight w:val="none"/>
              </w:rPr>
              <w:t>(3分)</w:t>
            </w:r>
          </w:p>
        </w:tc>
        <w:tc>
          <w:tcPr>
            <w:tcW w:w="3818"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Theme="minorEastAsia" w:cstheme="minorBidi"/>
                <w:bCs/>
                <w:color w:val="auto"/>
                <w:kern w:val="2"/>
                <w:sz w:val="24"/>
                <w:szCs w:val="24"/>
                <w:highlight w:val="none"/>
                <w:lang w:val="en-US" w:eastAsia="zh-CN" w:bidi="ar-SA"/>
              </w:rPr>
            </w:pPr>
            <w:r>
              <w:rPr>
                <w:rFonts w:hint="eastAsia"/>
                <w:color w:val="auto"/>
                <w:sz w:val="24"/>
                <w:szCs w:val="24"/>
                <w:highlight w:val="none"/>
                <w:lang w:val="en-US" w:eastAsia="zh-CN"/>
              </w:rPr>
              <w:t>为响应信创建设，根据投标人提供的国产数据库兼容性进行评价。</w:t>
            </w:r>
          </w:p>
        </w:tc>
        <w:tc>
          <w:tcPr>
            <w:tcW w:w="3309" w:type="dxa"/>
            <w:tcBorders>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有国产数据库兼容认证证书</w:t>
            </w:r>
            <w:r>
              <w:rPr>
                <w:rFonts w:hint="eastAsia" w:ascii="宋体" w:hAnsi="宋体" w:cs="Arial"/>
                <w:bCs/>
                <w:color w:val="auto"/>
                <w:kern w:val="0"/>
                <w:sz w:val="24"/>
                <w:szCs w:val="24"/>
                <w:highlight w:val="none"/>
              </w:rPr>
              <w:t>：3分</w:t>
            </w:r>
          </w:p>
          <w:p>
            <w:pPr>
              <w:keepNext w:val="0"/>
              <w:keepLines w:val="0"/>
              <w:suppressLineNumbers w:val="0"/>
              <w:spacing w:before="0" w:beforeAutospacing="0" w:after="0" w:afterAutospacing="0" w:line="360" w:lineRule="auto"/>
              <w:ind w:left="0" w:right="0"/>
              <w:rPr>
                <w:rFonts w:hint="eastAsia" w:ascii="宋体" w:hAnsi="宋体" w:eastAsiaTheme="minorEastAsia" w:cstheme="minorBidi"/>
                <w:bCs/>
                <w:color w:val="auto"/>
                <w:kern w:val="2"/>
                <w:sz w:val="24"/>
                <w:szCs w:val="24"/>
                <w:highlight w:val="none"/>
                <w:lang w:val="en-US" w:eastAsia="zh-CN" w:bidi="ar-SA"/>
              </w:rPr>
            </w:pPr>
            <w:r>
              <w:rPr>
                <w:rFonts w:hint="eastAsia" w:ascii="宋体" w:hAnsi="宋体" w:cs="Arial"/>
                <w:bCs/>
                <w:color w:val="auto"/>
                <w:kern w:val="0"/>
                <w:sz w:val="24"/>
                <w:szCs w:val="24"/>
                <w:highlight w:val="none"/>
              </w:rPr>
              <w:t>（2）</w:t>
            </w:r>
            <w:r>
              <w:rPr>
                <w:rFonts w:hint="eastAsia" w:ascii="宋体" w:hAnsi="宋体" w:cs="Arial"/>
                <w:bCs/>
                <w:color w:val="auto"/>
                <w:kern w:val="0"/>
                <w:sz w:val="24"/>
                <w:szCs w:val="24"/>
                <w:highlight w:val="none"/>
                <w:lang w:val="en-US" w:eastAsia="zh-CN"/>
              </w:rPr>
              <w:t>无国产数据库兼容认证证书</w:t>
            </w:r>
            <w:r>
              <w:rPr>
                <w:rFonts w:hint="eastAsia" w:ascii="宋体" w:hAnsi="宋体" w:cs="Arial"/>
                <w:bCs/>
                <w:color w:val="auto"/>
                <w:kern w:val="0"/>
                <w:sz w:val="24"/>
                <w:szCs w:val="24"/>
                <w:highlight w:val="none"/>
              </w:rPr>
              <w:t>：0分</w:t>
            </w:r>
          </w:p>
        </w:tc>
        <w:tc>
          <w:tcPr>
            <w:tcW w:w="3155" w:type="dxa"/>
            <w:vMerge w:val="continue"/>
            <w:tcBorders>
              <w:left w:val="single" w:color="auto"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eastAsiaTheme="minorEastAsia" w:cstheme="minorBidi"/>
                <w:bCs/>
                <w:color w:val="auto"/>
                <w:kern w:val="2"/>
                <w:sz w:val="24"/>
                <w:szCs w:val="24"/>
                <w:highlight w:val="none"/>
                <w:lang w:val="en-US" w:eastAsia="zh-CN" w:bidi="ar-SA"/>
              </w:rPr>
            </w:pPr>
          </w:p>
        </w:tc>
      </w:tr>
      <w:tr>
        <w:tblPrEx>
          <w:tblCellMar>
            <w:top w:w="0" w:type="dxa"/>
            <w:left w:w="0" w:type="dxa"/>
            <w:bottom w:w="0" w:type="dxa"/>
            <w:right w:w="0" w:type="dxa"/>
          </w:tblCellMar>
        </w:tblPrEx>
        <w:trPr>
          <w:trHeight w:val="980" w:hRule="atLeast"/>
        </w:trPr>
        <w:tc>
          <w:tcPr>
            <w:tcW w:w="1090" w:type="dxa"/>
            <w:vMerge w:val="continue"/>
            <w:tcBorders>
              <w:left w:val="single" w:color="000000" w:sz="4" w:space="0"/>
              <w:right w:val="single" w:color="000000" w:sz="4" w:space="0"/>
            </w:tcBorders>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both"/>
              <w:rPr>
                <w:rFonts w:hint="default" w:ascii="宋体" w:hAnsi="宋体"/>
                <w:bCs/>
                <w:color w:val="auto"/>
                <w:sz w:val="24"/>
                <w:szCs w:val="24"/>
                <w:highlight w:val="none"/>
              </w:rPr>
            </w:pPr>
            <w:r>
              <w:rPr>
                <w:rFonts w:hint="eastAsia" w:ascii="宋体" w:hAnsi="宋体"/>
                <w:bCs/>
                <w:color w:val="auto"/>
                <w:sz w:val="24"/>
                <w:szCs w:val="24"/>
                <w:highlight w:val="none"/>
              </w:rPr>
              <w:t>系统集成能力评价</w:t>
            </w:r>
          </w:p>
          <w:p>
            <w:pPr>
              <w:keepNext w:val="0"/>
              <w:keepLines w:val="0"/>
              <w:suppressLineNumbers w:val="0"/>
              <w:spacing w:before="0" w:beforeAutospacing="0" w:after="0" w:afterAutospacing="0" w:line="360" w:lineRule="auto"/>
              <w:ind w:left="0" w:right="0"/>
              <w:jc w:val="center"/>
              <w:rPr>
                <w:rFonts w:hint="default" w:ascii="宋体" w:hAnsi="宋体" w:eastAsiaTheme="minorEastAsia" w:cstheme="minorBidi"/>
                <w:b/>
                <w:bCs/>
                <w:color w:val="auto"/>
                <w:kern w:val="2"/>
                <w:sz w:val="24"/>
                <w:szCs w:val="24"/>
                <w:highlight w:val="none"/>
                <w:lang w:val="en-US" w:eastAsia="zh-CN" w:bidi="ar-SA"/>
              </w:rPr>
            </w:pPr>
            <w:r>
              <w:rPr>
                <w:rFonts w:hint="eastAsia" w:ascii="宋体" w:hAnsi="宋体"/>
                <w:b/>
                <w:color w:val="auto"/>
                <w:sz w:val="24"/>
                <w:szCs w:val="24"/>
                <w:highlight w:val="none"/>
              </w:rPr>
              <w:t>(2分)</w:t>
            </w:r>
          </w:p>
        </w:tc>
        <w:tc>
          <w:tcPr>
            <w:tcW w:w="3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Theme="minorEastAsia" w:cstheme="minorBidi"/>
                <w:b/>
                <w:bCs/>
                <w:color w:val="auto"/>
                <w:kern w:val="2"/>
                <w:sz w:val="24"/>
                <w:szCs w:val="24"/>
                <w:highlight w:val="none"/>
                <w:lang w:val="en-US" w:eastAsia="zh-CN" w:bidi="ar-SA"/>
              </w:rPr>
            </w:pPr>
            <w:r>
              <w:rPr>
                <w:rFonts w:hint="eastAsia"/>
                <w:color w:val="auto"/>
                <w:sz w:val="24"/>
                <w:szCs w:val="24"/>
                <w:highlight w:val="none"/>
              </w:rPr>
              <w:t>根据投标人提供的集成方案进行评价。</w:t>
            </w:r>
          </w:p>
        </w:tc>
        <w:tc>
          <w:tcPr>
            <w:tcW w:w="330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bCs/>
                <w:color w:val="auto"/>
                <w:sz w:val="24"/>
                <w:szCs w:val="24"/>
                <w:highlight w:val="none"/>
              </w:rPr>
              <w:t>（1）</w:t>
            </w:r>
            <w:r>
              <w:rPr>
                <w:rFonts w:hint="eastAsia" w:ascii="宋体" w:hAnsi="宋体" w:cs="Arial"/>
                <w:bCs/>
                <w:color w:val="auto"/>
                <w:kern w:val="0"/>
                <w:sz w:val="24"/>
                <w:szCs w:val="24"/>
                <w:highlight w:val="none"/>
              </w:rPr>
              <w:t>集成能力强，经验丰富：2分</w:t>
            </w:r>
          </w:p>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（2）集成能力及经验差：1分</w:t>
            </w:r>
          </w:p>
          <w:p>
            <w:pPr>
              <w:keepNext w:val="0"/>
              <w:keepLines w:val="0"/>
              <w:suppressLineNumbers w:val="0"/>
              <w:spacing w:before="0" w:beforeAutospacing="0" w:after="0" w:afterAutospacing="0" w:line="360" w:lineRule="auto"/>
              <w:ind w:left="0" w:right="0"/>
              <w:rPr>
                <w:rFonts w:hint="eastAsia" w:ascii="宋体" w:hAnsi="宋体" w:eastAsiaTheme="minorEastAsia" w:cstheme="minorBidi"/>
                <w:color w:val="auto"/>
                <w:kern w:val="2"/>
                <w:sz w:val="24"/>
                <w:szCs w:val="24"/>
                <w:highlight w:val="none"/>
                <w:lang w:val="en-US" w:eastAsia="zh-CN" w:bidi="ar-SA"/>
              </w:rPr>
            </w:pPr>
            <w:r>
              <w:rPr>
                <w:rFonts w:hint="eastAsia" w:ascii="宋体" w:hAnsi="宋体" w:cs="Arial"/>
                <w:bCs/>
                <w:color w:val="auto"/>
                <w:kern w:val="0"/>
                <w:sz w:val="24"/>
                <w:szCs w:val="24"/>
                <w:highlight w:val="none"/>
              </w:rPr>
              <w:t>（3）未提供集成方案：0分</w:t>
            </w:r>
          </w:p>
        </w:tc>
        <w:tc>
          <w:tcPr>
            <w:tcW w:w="3155" w:type="dxa"/>
            <w:vMerge w:val="continue"/>
            <w:tcBorders>
              <w:left w:val="single" w:color="auto"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Arial" w:eastAsiaTheme="minorEastAsia"/>
                <w:bCs/>
                <w:color w:val="auto"/>
                <w:kern w:val="0"/>
                <w:sz w:val="24"/>
                <w:szCs w:val="24"/>
                <w:highlight w:val="none"/>
                <w:lang w:val="en-US" w:eastAsia="zh-CN" w:bidi="ar-SA"/>
              </w:rPr>
            </w:pPr>
          </w:p>
        </w:tc>
      </w:tr>
      <w:tr>
        <w:tblPrEx>
          <w:tblCellMar>
            <w:top w:w="0" w:type="dxa"/>
            <w:left w:w="0" w:type="dxa"/>
            <w:bottom w:w="0" w:type="dxa"/>
            <w:right w:w="0" w:type="dxa"/>
          </w:tblCellMar>
        </w:tblPrEx>
        <w:trPr>
          <w:trHeight w:val="2361" w:hRule="atLeast"/>
        </w:trPr>
        <w:tc>
          <w:tcPr>
            <w:tcW w:w="1090" w:type="dxa"/>
            <w:vMerge w:val="continue"/>
            <w:tcBorders>
              <w:left w:val="single" w:color="000000" w:sz="4" w:space="0"/>
              <w:right w:val="single" w:color="000000" w:sz="4" w:space="0"/>
            </w:tcBorders>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both"/>
              <w:rPr>
                <w:rFonts w:hint="default" w:ascii="宋体" w:hAnsi="宋体"/>
                <w:bCs/>
                <w:color w:val="auto"/>
                <w:sz w:val="24"/>
                <w:szCs w:val="24"/>
                <w:highlight w:val="none"/>
              </w:rPr>
            </w:pPr>
            <w:r>
              <w:rPr>
                <w:rFonts w:hint="eastAsia" w:ascii="宋体" w:hAnsi="宋体"/>
                <w:bCs/>
                <w:color w:val="auto"/>
                <w:sz w:val="24"/>
                <w:szCs w:val="24"/>
                <w:highlight w:val="none"/>
              </w:rPr>
              <w:t>系统实施方案评价</w:t>
            </w:r>
          </w:p>
          <w:p>
            <w:pPr>
              <w:keepNext w:val="0"/>
              <w:keepLines w:val="0"/>
              <w:suppressLineNumbers w:val="0"/>
              <w:spacing w:before="0" w:beforeAutospacing="0" w:after="0" w:afterAutospacing="0" w:line="360" w:lineRule="auto"/>
              <w:ind w:left="0" w:right="0"/>
              <w:jc w:val="center"/>
              <w:rPr>
                <w:rFonts w:hint="default" w:ascii="宋体" w:hAnsi="宋体" w:eastAsiaTheme="minorEastAsia" w:cstheme="minorBidi"/>
                <w:b/>
                <w:bCs/>
                <w:color w:val="auto"/>
                <w:kern w:val="2"/>
                <w:sz w:val="24"/>
                <w:szCs w:val="24"/>
                <w:highlight w:val="none"/>
                <w:lang w:val="en-US" w:eastAsia="zh-CN" w:bidi="ar-SA"/>
              </w:rPr>
            </w:pPr>
            <w:r>
              <w:rPr>
                <w:rFonts w:hint="eastAsia" w:ascii="宋体" w:hAnsi="宋体"/>
                <w:b/>
                <w:color w:val="auto"/>
                <w:sz w:val="24"/>
                <w:szCs w:val="24"/>
                <w:highlight w:val="none"/>
              </w:rPr>
              <w:t>(3分)</w:t>
            </w:r>
          </w:p>
        </w:tc>
        <w:tc>
          <w:tcPr>
            <w:tcW w:w="3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Theme="minorEastAsia" w:cstheme="minorBidi"/>
                <w:bCs/>
                <w:color w:val="auto"/>
                <w:kern w:val="2"/>
                <w:sz w:val="24"/>
                <w:szCs w:val="24"/>
                <w:highlight w:val="none"/>
                <w:lang w:val="en-US" w:eastAsia="zh-CN" w:bidi="ar-SA"/>
              </w:rPr>
            </w:pPr>
            <w:r>
              <w:rPr>
                <w:rFonts w:hint="eastAsia" w:ascii="宋体" w:hAnsi="宋体"/>
                <w:bCs/>
                <w:color w:val="auto"/>
                <w:sz w:val="24"/>
                <w:szCs w:val="24"/>
                <w:highlight w:val="none"/>
              </w:rPr>
              <w:t>根据投标人提供的实施方案进行评价，包括方案描述清晰完整程度、项目实施进度科学可操作性、人员分工合理性等方面</w:t>
            </w:r>
            <w:r>
              <w:rPr>
                <w:rFonts w:hint="eastAsia" w:ascii="宋体" w:hAnsi="宋体"/>
                <w:bCs/>
                <w:color w:val="auto"/>
                <w:sz w:val="24"/>
                <w:szCs w:val="24"/>
                <w:highlight w:val="none"/>
                <w:lang w:eastAsia="zh-CN"/>
              </w:rPr>
              <w:t>。</w:t>
            </w:r>
          </w:p>
        </w:tc>
        <w:tc>
          <w:tcPr>
            <w:tcW w:w="330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rPr>
                <w:rFonts w:hint="eastAsia" w:ascii="宋体" w:hAnsi="宋体"/>
                <w:bCs/>
                <w:color w:val="auto"/>
                <w:sz w:val="24"/>
                <w:szCs w:val="24"/>
                <w:highlight w:val="none"/>
              </w:rPr>
            </w:pPr>
          </w:p>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bCs/>
                <w:color w:val="auto"/>
                <w:sz w:val="24"/>
                <w:szCs w:val="24"/>
                <w:highlight w:val="none"/>
              </w:rPr>
              <w:t>（1）</w:t>
            </w:r>
            <w:r>
              <w:rPr>
                <w:rFonts w:hint="eastAsia" w:ascii="宋体" w:hAnsi="宋体" w:cs="Arial"/>
                <w:bCs/>
                <w:color w:val="auto"/>
                <w:kern w:val="0"/>
                <w:sz w:val="24"/>
                <w:szCs w:val="24"/>
                <w:highlight w:val="none"/>
              </w:rPr>
              <w:t>实施方案可行：3分</w:t>
            </w:r>
          </w:p>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（2）实施方案基本可行：2分</w:t>
            </w:r>
          </w:p>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（3）实施方案不可行：1分</w:t>
            </w:r>
          </w:p>
          <w:p>
            <w:pPr>
              <w:keepNext w:val="0"/>
              <w:keepLines w:val="0"/>
              <w:suppressLineNumbers w:val="0"/>
              <w:spacing w:before="0" w:beforeAutospacing="0" w:after="0" w:afterAutospacing="0" w:line="360" w:lineRule="auto"/>
              <w:ind w:left="0" w:right="0"/>
              <w:rPr>
                <w:rFonts w:hint="eastAsia" w:ascii="宋体" w:hAnsi="宋体"/>
                <w:bCs/>
                <w:color w:val="auto"/>
                <w:sz w:val="24"/>
                <w:szCs w:val="24"/>
                <w:highlight w:val="none"/>
                <w:lang w:val="en-US" w:eastAsia="zh-CN"/>
              </w:rPr>
            </w:pPr>
            <w:r>
              <w:rPr>
                <w:rFonts w:hint="eastAsia" w:ascii="宋体" w:hAnsi="宋体" w:cs="Arial"/>
                <w:bCs/>
                <w:color w:val="auto"/>
                <w:kern w:val="0"/>
                <w:sz w:val="24"/>
                <w:szCs w:val="24"/>
                <w:highlight w:val="none"/>
              </w:rPr>
              <w:t>（4）未提供实施方案：0分</w:t>
            </w:r>
          </w:p>
        </w:tc>
        <w:tc>
          <w:tcPr>
            <w:tcW w:w="3155" w:type="dxa"/>
            <w:vMerge w:val="continue"/>
            <w:tcBorders>
              <w:left w:val="single" w:color="auto" w:sz="4" w:space="0"/>
              <w:bottom w:val="nil"/>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Arial" w:eastAsiaTheme="minorEastAsia"/>
                <w:bCs/>
                <w:color w:val="auto"/>
                <w:kern w:val="0"/>
                <w:sz w:val="24"/>
                <w:szCs w:val="24"/>
                <w:highlight w:val="none"/>
                <w:lang w:val="en-US" w:eastAsia="zh-CN" w:bidi="ar-SA"/>
              </w:rPr>
            </w:pPr>
          </w:p>
        </w:tc>
      </w:tr>
      <w:tr>
        <w:tblPrEx>
          <w:tblCellMar>
            <w:top w:w="0" w:type="dxa"/>
            <w:left w:w="0" w:type="dxa"/>
            <w:bottom w:w="0" w:type="dxa"/>
            <w:right w:w="0" w:type="dxa"/>
          </w:tblCellMar>
        </w:tblPrEx>
        <w:trPr>
          <w:trHeight w:val="905" w:hRule="atLeast"/>
        </w:trPr>
        <w:tc>
          <w:tcPr>
            <w:tcW w:w="1090" w:type="dxa"/>
            <w:vMerge w:val="continue"/>
            <w:tcBorders>
              <w:left w:val="single" w:color="000000" w:sz="4" w:space="0"/>
              <w:right w:val="single" w:color="000000" w:sz="4" w:space="0"/>
            </w:tcBorders>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 w:val="24"/>
                <w:szCs w:val="24"/>
                <w:highlight w:val="none"/>
              </w:rPr>
            </w:pPr>
            <w:r>
              <w:rPr>
                <w:rFonts w:hint="eastAsia"/>
                <w:color w:val="auto"/>
                <w:sz w:val="24"/>
                <w:szCs w:val="24"/>
                <w:highlight w:val="none"/>
              </w:rPr>
              <w:t>系统培训方案评价</w:t>
            </w:r>
          </w:p>
          <w:p>
            <w:pPr>
              <w:keepNext w:val="0"/>
              <w:keepLines w:val="0"/>
              <w:suppressLineNumbers w:val="0"/>
              <w:spacing w:before="0" w:beforeAutospacing="0" w:after="0" w:afterAutospacing="0" w:line="360" w:lineRule="auto"/>
              <w:ind w:left="0" w:right="0"/>
              <w:jc w:val="center"/>
              <w:rPr>
                <w:rFonts w:hint="eastAsia" w:ascii="宋体" w:hAnsi="宋体" w:eastAsiaTheme="minorEastAsia" w:cstheme="minorBidi"/>
                <w:bCs/>
                <w:color w:val="auto"/>
                <w:kern w:val="2"/>
                <w:sz w:val="24"/>
                <w:szCs w:val="24"/>
                <w:highlight w:val="none"/>
                <w:lang w:val="en-US" w:eastAsia="zh-CN" w:bidi="ar-SA"/>
              </w:rPr>
            </w:pP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分)</w:t>
            </w:r>
          </w:p>
        </w:tc>
        <w:tc>
          <w:tcPr>
            <w:tcW w:w="3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根据投标人提供的系统培训方案的可行性进行评分,包括培训内容、形式、计划、服务承诺等方面</w:t>
            </w:r>
          </w:p>
        </w:tc>
        <w:tc>
          <w:tcPr>
            <w:tcW w:w="3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color w:val="auto"/>
                <w:sz w:val="24"/>
                <w:szCs w:val="24"/>
                <w:highlight w:val="none"/>
              </w:rPr>
              <w:t>（1）培训方案全面：</w:t>
            </w:r>
            <w:r>
              <w:rPr>
                <w:rFonts w:hint="eastAsia"/>
                <w:color w:val="auto"/>
                <w:sz w:val="24"/>
                <w:szCs w:val="24"/>
                <w:highlight w:val="none"/>
                <w:lang w:val="en-US" w:eastAsia="zh-CN"/>
              </w:rPr>
              <w:t>3</w:t>
            </w:r>
            <w:r>
              <w:rPr>
                <w:rFonts w:hint="eastAsia"/>
                <w:color w:val="auto"/>
                <w:sz w:val="24"/>
                <w:szCs w:val="24"/>
                <w:highlight w:val="none"/>
              </w:rPr>
              <w:t>分</w:t>
            </w:r>
          </w:p>
          <w:p>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color w:val="auto"/>
                <w:sz w:val="24"/>
                <w:szCs w:val="24"/>
                <w:highlight w:val="none"/>
              </w:rPr>
              <w:t>（2）培训方案一般：</w:t>
            </w:r>
            <w:r>
              <w:rPr>
                <w:rFonts w:hint="eastAsia"/>
                <w:color w:val="auto"/>
                <w:sz w:val="24"/>
                <w:szCs w:val="24"/>
                <w:highlight w:val="none"/>
                <w:lang w:val="en-US" w:eastAsia="zh-CN"/>
              </w:rPr>
              <w:t>2</w:t>
            </w:r>
            <w:r>
              <w:rPr>
                <w:rFonts w:hint="eastAsia"/>
                <w:color w:val="auto"/>
                <w:sz w:val="24"/>
                <w:szCs w:val="24"/>
                <w:highlight w:val="none"/>
              </w:rPr>
              <w:t>分</w:t>
            </w:r>
          </w:p>
          <w:p>
            <w:pPr>
              <w:keepNext w:val="0"/>
              <w:keepLines w:val="0"/>
              <w:suppressLineNumbers w:val="0"/>
              <w:spacing w:before="0" w:beforeAutospacing="0" w:after="0" w:afterAutospacing="0" w:line="360" w:lineRule="auto"/>
              <w:ind w:left="0" w:right="0"/>
              <w:rPr>
                <w:rFonts w:hint="default"/>
                <w:color w:val="auto"/>
                <w:sz w:val="24"/>
                <w:szCs w:val="24"/>
                <w:highlight w:val="none"/>
              </w:rPr>
            </w:pPr>
            <w:r>
              <w:rPr>
                <w:rFonts w:hint="eastAsia"/>
                <w:color w:val="auto"/>
                <w:sz w:val="24"/>
                <w:szCs w:val="24"/>
                <w:highlight w:val="none"/>
              </w:rPr>
              <w:t>（3）培训方案不全：1分</w:t>
            </w:r>
          </w:p>
          <w:p>
            <w:pPr>
              <w:keepNext w:val="0"/>
              <w:keepLines w:val="0"/>
              <w:suppressLineNumbers w:val="0"/>
              <w:spacing w:before="0" w:beforeAutospacing="0" w:after="0" w:afterAutospacing="0" w:line="360" w:lineRule="auto"/>
              <w:ind w:left="0" w:right="0"/>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（4）培训方案差或无培训方案：0分</w:t>
            </w:r>
          </w:p>
        </w:tc>
        <w:tc>
          <w:tcPr>
            <w:tcW w:w="3155" w:type="dxa"/>
            <w:vMerge w:val="continue"/>
            <w:tcBorders>
              <w:left w:val="single" w:color="auto" w:sz="4" w:space="0"/>
              <w:bottom w:val="nil"/>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Arial" w:eastAsiaTheme="minorEastAsia"/>
                <w:bCs/>
                <w:color w:val="auto"/>
                <w:kern w:val="0"/>
                <w:sz w:val="24"/>
                <w:szCs w:val="24"/>
                <w:highlight w:val="none"/>
                <w:lang w:val="en-US" w:eastAsia="zh-CN" w:bidi="ar-SA"/>
              </w:rPr>
            </w:pPr>
          </w:p>
        </w:tc>
      </w:tr>
      <w:tr>
        <w:tblPrEx>
          <w:tblCellMar>
            <w:top w:w="0" w:type="dxa"/>
            <w:left w:w="0" w:type="dxa"/>
            <w:bottom w:w="0" w:type="dxa"/>
            <w:right w:w="0" w:type="dxa"/>
          </w:tblCellMar>
        </w:tblPrEx>
        <w:trPr>
          <w:trHeight w:val="3036" w:hRule="atLeast"/>
        </w:trPr>
        <w:tc>
          <w:tcPr>
            <w:tcW w:w="1090" w:type="dxa"/>
            <w:vMerge w:val="continue"/>
            <w:tcBorders>
              <w:left w:val="single" w:color="000000" w:sz="4" w:space="0"/>
              <w:bottom w:val="single" w:color="auto" w:sz="4" w:space="0"/>
              <w:right w:val="single" w:color="000000" w:sz="4" w:space="0"/>
            </w:tcBorders>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售后服务评价</w:t>
            </w:r>
          </w:p>
          <w:p>
            <w:pPr>
              <w:keepNext w:val="0"/>
              <w:keepLines w:val="0"/>
              <w:suppressLineNumbers w:val="0"/>
              <w:spacing w:before="0" w:beforeAutospacing="0" w:after="0" w:afterAutospacing="0" w:line="360" w:lineRule="auto"/>
              <w:ind w:left="0" w:right="0" w:firstLine="482" w:firstLineChars="200"/>
              <w:jc w:val="left"/>
              <w:rPr>
                <w:rFonts w:hint="eastAsia" w:ascii="宋体" w:hAnsi="宋体" w:cs="Arial" w:eastAsiaTheme="minorEastAsia"/>
                <w:color w:val="auto"/>
                <w:kern w:val="2"/>
                <w:sz w:val="24"/>
                <w:szCs w:val="24"/>
                <w:highlight w:val="none"/>
                <w:lang w:val="en-US" w:eastAsia="zh-CN" w:bidi="ar-SA"/>
              </w:rPr>
            </w:pPr>
            <w:r>
              <w:rPr>
                <w:rFonts w:hint="eastAsia" w:ascii="宋体" w:hAnsi="宋体" w:cs="Arial"/>
                <w:b/>
                <w:bCs/>
                <w:color w:val="auto"/>
                <w:sz w:val="24"/>
                <w:szCs w:val="24"/>
                <w:highlight w:val="none"/>
              </w:rPr>
              <w:t>(</w:t>
            </w:r>
            <w:r>
              <w:rPr>
                <w:rFonts w:hint="default" w:ascii="宋体" w:hAnsi="宋体" w:cs="Arial"/>
                <w:b/>
                <w:bCs/>
                <w:color w:val="auto"/>
                <w:sz w:val="24"/>
                <w:szCs w:val="24"/>
                <w:highlight w:val="none"/>
              </w:rPr>
              <w:t>3</w:t>
            </w:r>
            <w:r>
              <w:rPr>
                <w:rFonts w:hint="eastAsia" w:ascii="宋体" w:hAnsi="宋体" w:cs="Arial"/>
                <w:b/>
                <w:bCs/>
                <w:color w:val="auto"/>
                <w:sz w:val="24"/>
                <w:szCs w:val="24"/>
                <w:highlight w:val="none"/>
              </w:rPr>
              <w:t>分)</w:t>
            </w:r>
          </w:p>
        </w:tc>
        <w:tc>
          <w:tcPr>
            <w:tcW w:w="3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rPr>
              <w:t>根据产品服务厂商提供详细的售后服务方案进行评价，包括响应时间、修复时间、故障解决办法、服务支持能力等。</w:t>
            </w:r>
          </w:p>
        </w:tc>
        <w:tc>
          <w:tcPr>
            <w:tcW w:w="3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（1）响应和修复时间快，故障解决方法及服务能力好：</w:t>
            </w:r>
            <w:r>
              <w:rPr>
                <w:rFonts w:hint="default" w:ascii="宋体" w:hAnsi="宋体" w:cs="Arial"/>
                <w:color w:val="auto"/>
                <w:sz w:val="24"/>
                <w:szCs w:val="24"/>
                <w:highlight w:val="none"/>
              </w:rPr>
              <w:t>3</w:t>
            </w:r>
            <w:r>
              <w:rPr>
                <w:rFonts w:hint="eastAsia" w:ascii="宋体" w:hAnsi="宋体" w:cs="Arial"/>
                <w:color w:val="auto"/>
                <w:sz w:val="24"/>
                <w:szCs w:val="24"/>
                <w:highlight w:val="none"/>
              </w:rPr>
              <w:t>分</w:t>
            </w:r>
          </w:p>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（2）响应和修复时间、故障解决方法和服务能力一般：</w:t>
            </w:r>
            <w:r>
              <w:rPr>
                <w:rFonts w:hint="default" w:ascii="宋体" w:hAnsi="宋体" w:cs="Arial"/>
                <w:color w:val="auto"/>
                <w:sz w:val="24"/>
                <w:szCs w:val="24"/>
                <w:highlight w:val="none"/>
              </w:rPr>
              <w:t>2</w:t>
            </w:r>
            <w:r>
              <w:rPr>
                <w:rFonts w:hint="eastAsia" w:ascii="宋体" w:hAnsi="宋体" w:cs="Arial"/>
                <w:color w:val="auto"/>
                <w:sz w:val="24"/>
                <w:szCs w:val="24"/>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Arial" w:eastAsiaTheme="minorEastAsia"/>
                <w:color w:val="auto"/>
                <w:kern w:val="2"/>
                <w:sz w:val="24"/>
                <w:szCs w:val="24"/>
                <w:highlight w:val="none"/>
                <w:lang w:val="en-US" w:eastAsia="zh-CN" w:bidi="ar-SA"/>
              </w:rPr>
            </w:pPr>
            <w:r>
              <w:rPr>
                <w:rFonts w:hint="eastAsia" w:ascii="宋体" w:hAnsi="宋体" w:cs="Arial"/>
                <w:color w:val="auto"/>
                <w:sz w:val="24"/>
                <w:szCs w:val="24"/>
                <w:highlight w:val="none"/>
              </w:rPr>
              <w:t>（3）提供售后服务方案不符合或者未提供售后服务方案：0分</w:t>
            </w:r>
          </w:p>
        </w:tc>
        <w:tc>
          <w:tcPr>
            <w:tcW w:w="3155" w:type="dxa"/>
            <w:tcBorders>
              <w:left w:val="single" w:color="auto" w:sz="4" w:space="0"/>
              <w:bottom w:val="nil"/>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Arial" w:eastAsiaTheme="minorEastAsia"/>
                <w:bCs/>
                <w:color w:val="auto"/>
                <w:kern w:val="0"/>
                <w:sz w:val="24"/>
                <w:szCs w:val="24"/>
                <w:highlight w:val="none"/>
                <w:lang w:val="en-US" w:eastAsia="zh-CN" w:bidi="ar-SA"/>
              </w:rPr>
            </w:pPr>
          </w:p>
        </w:tc>
      </w:tr>
      <w:tr>
        <w:tblPrEx>
          <w:tblCellMar>
            <w:top w:w="0" w:type="dxa"/>
            <w:left w:w="0" w:type="dxa"/>
            <w:bottom w:w="0" w:type="dxa"/>
            <w:right w:w="0" w:type="dxa"/>
          </w:tblCellMar>
        </w:tblPrEx>
        <w:trPr>
          <w:trHeight w:val="343" w:hRule="atLeast"/>
        </w:trPr>
        <w:tc>
          <w:tcPr>
            <w:tcW w:w="1090" w:type="dxa"/>
            <w:vMerge w:val="restart"/>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宋体" w:hAnsi="宋体"/>
                <w:b/>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b/>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b/>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b/>
                <w:color w:val="auto"/>
                <w:sz w:val="24"/>
                <w:szCs w:val="24"/>
                <w:highlight w:val="none"/>
              </w:rPr>
            </w:pPr>
          </w:p>
          <w:p>
            <w:pPr>
              <w:keepNext w:val="0"/>
              <w:keepLines w:val="0"/>
              <w:suppressLineNumbers w:val="0"/>
              <w:spacing w:before="0" w:beforeAutospacing="0" w:after="0" w:afterAutospacing="0" w:line="360" w:lineRule="auto"/>
              <w:ind w:left="0" w:right="0"/>
              <w:rPr>
                <w:rFonts w:hint="default" w:ascii="宋体" w:hAnsi="宋体"/>
                <w:b/>
                <w:color w:val="auto"/>
                <w:sz w:val="24"/>
                <w:szCs w:val="24"/>
                <w:highlight w:val="none"/>
              </w:rPr>
            </w:pPr>
            <w:r>
              <w:rPr>
                <w:rFonts w:hint="eastAsia" w:ascii="宋体" w:hAnsi="宋体"/>
                <w:b/>
                <w:color w:val="auto"/>
                <w:sz w:val="24"/>
                <w:szCs w:val="24"/>
                <w:highlight w:val="none"/>
              </w:rPr>
              <w:t>商务分(</w:t>
            </w: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分)</w:t>
            </w:r>
          </w:p>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p>
            <w:pPr>
              <w:pStyle w:val="29"/>
              <w:keepNext w:val="0"/>
              <w:keepLines w:val="0"/>
              <w:suppressLineNumbers w:val="0"/>
              <w:spacing w:before="0" w:beforeAutospacing="0" w:after="0" w:afterAutospacing="0"/>
              <w:ind w:left="0" w:right="0"/>
              <w:rPr>
                <w:rFonts w:hint="default" w:ascii="宋体" w:hAnsi="宋体" w:eastAsia="宋体"/>
                <w:b w:val="0"/>
                <w:color w:val="auto"/>
                <w:w w:val="100"/>
                <w:sz w:val="21"/>
                <w:szCs w:val="20"/>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both"/>
              <w:rPr>
                <w:rFonts w:hint="default" w:ascii="宋体" w:hAnsi="宋体" w:cs="Arial"/>
                <w:color w:val="auto"/>
                <w:sz w:val="24"/>
                <w:szCs w:val="24"/>
                <w:highlight w:val="none"/>
              </w:rPr>
            </w:pPr>
            <w:r>
              <w:rPr>
                <w:rFonts w:hint="eastAsia" w:ascii="宋体" w:hAnsi="宋体" w:cs="Arial"/>
                <w:color w:val="auto"/>
                <w:sz w:val="24"/>
                <w:szCs w:val="24"/>
                <w:highlight w:val="none"/>
              </w:rPr>
              <w:t>管理体系评价</w:t>
            </w:r>
          </w:p>
          <w:p>
            <w:pPr>
              <w:keepNext w:val="0"/>
              <w:keepLines w:val="0"/>
              <w:suppressLineNumbers w:val="0"/>
              <w:spacing w:before="0" w:beforeAutospacing="0" w:after="0" w:afterAutospacing="0" w:line="360" w:lineRule="auto"/>
              <w:ind w:left="0" w:right="0"/>
              <w:jc w:val="center"/>
              <w:rPr>
                <w:rFonts w:hint="default" w:ascii="宋体" w:hAnsi="宋体" w:eastAsiaTheme="minorEastAsia" w:cstheme="minorBidi"/>
                <w:b/>
                <w:bCs/>
                <w:color w:val="auto"/>
                <w:kern w:val="2"/>
                <w:sz w:val="24"/>
                <w:szCs w:val="24"/>
                <w:highlight w:val="none"/>
                <w:lang w:val="en-US" w:eastAsia="zh-CN" w:bidi="ar-SA"/>
              </w:rPr>
            </w:pPr>
            <w:r>
              <w:rPr>
                <w:rFonts w:hint="eastAsia" w:ascii="宋体" w:hAnsi="宋体" w:cs="Arial"/>
                <w:b/>
                <w:bCs/>
                <w:color w:val="auto"/>
                <w:sz w:val="24"/>
                <w:szCs w:val="24"/>
                <w:highlight w:val="none"/>
              </w:rPr>
              <w:t>（</w:t>
            </w:r>
            <w:r>
              <w:rPr>
                <w:rFonts w:hint="default" w:ascii="宋体" w:hAnsi="宋体" w:cs="Arial"/>
                <w:b/>
                <w:bCs/>
                <w:color w:val="auto"/>
                <w:sz w:val="24"/>
                <w:szCs w:val="24"/>
                <w:highlight w:val="none"/>
              </w:rPr>
              <w:t>1</w:t>
            </w:r>
            <w:r>
              <w:rPr>
                <w:rFonts w:hint="eastAsia" w:ascii="宋体" w:hAnsi="宋体" w:cs="Arial"/>
                <w:b/>
                <w:bCs/>
                <w:color w:val="auto"/>
                <w:sz w:val="24"/>
                <w:szCs w:val="24"/>
                <w:highlight w:val="none"/>
              </w:rPr>
              <w:t>分）</w:t>
            </w:r>
          </w:p>
        </w:tc>
        <w:tc>
          <w:tcPr>
            <w:tcW w:w="3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Theme="minorEastAsia" w:cstheme="minorBidi"/>
                <w:bCs/>
                <w:color w:val="auto"/>
                <w:kern w:val="2"/>
                <w:sz w:val="24"/>
                <w:szCs w:val="24"/>
                <w:highlight w:val="none"/>
                <w:lang w:val="en-US" w:eastAsia="zh-CN" w:bidi="ar-SA"/>
              </w:rPr>
            </w:pPr>
            <w:r>
              <w:rPr>
                <w:rFonts w:hint="eastAsia" w:ascii="宋体" w:hAnsi="宋体" w:cs="Arial"/>
                <w:color w:val="auto"/>
                <w:sz w:val="24"/>
                <w:szCs w:val="24"/>
                <w:highlight w:val="none"/>
              </w:rPr>
              <w:t>根据产品服务厂商提供的ISO9001质量管理体系认证证书进行评价，须提供有效期内加盖公司公章证书复印件作为证明材料</w:t>
            </w:r>
          </w:p>
        </w:tc>
        <w:tc>
          <w:tcPr>
            <w:tcW w:w="3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Arial"/>
                <w:color w:val="auto"/>
                <w:sz w:val="24"/>
                <w:szCs w:val="24"/>
                <w:highlight w:val="none"/>
              </w:rPr>
            </w:pPr>
            <w:r>
              <w:rPr>
                <w:rFonts w:hint="eastAsia" w:ascii="宋体" w:hAnsi="宋体" w:cs="Arial"/>
                <w:color w:val="auto"/>
                <w:sz w:val="24"/>
                <w:szCs w:val="24"/>
                <w:highlight w:val="none"/>
              </w:rPr>
              <w:t>（1）提供</w:t>
            </w:r>
            <w:r>
              <w:rPr>
                <w:rFonts w:hint="default" w:ascii="宋体" w:hAnsi="宋体" w:cs="Arial"/>
                <w:color w:val="auto"/>
                <w:sz w:val="24"/>
                <w:szCs w:val="24"/>
                <w:highlight w:val="none"/>
              </w:rPr>
              <w:t>1</w:t>
            </w:r>
            <w:r>
              <w:rPr>
                <w:rFonts w:hint="eastAsia" w:ascii="宋体" w:hAnsi="宋体" w:cs="Arial"/>
                <w:color w:val="auto"/>
                <w:sz w:val="24"/>
                <w:szCs w:val="24"/>
                <w:highlight w:val="none"/>
              </w:rPr>
              <w:t>个证书：</w:t>
            </w:r>
            <w:r>
              <w:rPr>
                <w:rFonts w:hint="default" w:ascii="宋体" w:hAnsi="宋体" w:cs="Arial"/>
                <w:color w:val="auto"/>
                <w:sz w:val="24"/>
                <w:szCs w:val="24"/>
                <w:highlight w:val="none"/>
              </w:rPr>
              <w:t>1</w:t>
            </w:r>
            <w:r>
              <w:rPr>
                <w:rFonts w:hint="eastAsia" w:ascii="宋体" w:hAnsi="宋体" w:cs="Arial"/>
                <w:color w:val="auto"/>
                <w:sz w:val="24"/>
                <w:szCs w:val="24"/>
                <w:highlight w:val="none"/>
              </w:rPr>
              <w:t>分</w:t>
            </w:r>
          </w:p>
          <w:p>
            <w:pPr>
              <w:keepNext w:val="0"/>
              <w:keepLines w:val="0"/>
              <w:suppressLineNumbers w:val="0"/>
              <w:spacing w:before="0" w:beforeAutospacing="0" w:after="0" w:afterAutospacing="0" w:line="360" w:lineRule="auto"/>
              <w:ind w:left="0" w:right="0"/>
              <w:rPr>
                <w:rFonts w:hint="eastAsia" w:ascii="宋体" w:hAnsi="宋体" w:cs="Arial"/>
                <w:color w:val="auto"/>
                <w:sz w:val="24"/>
                <w:szCs w:val="24"/>
                <w:highlight w:val="none"/>
              </w:rPr>
            </w:pPr>
            <w:r>
              <w:rPr>
                <w:rFonts w:hint="eastAsia" w:ascii="宋体" w:hAnsi="宋体" w:cs="Arial"/>
                <w:color w:val="auto"/>
                <w:sz w:val="24"/>
                <w:szCs w:val="24"/>
                <w:highlight w:val="none"/>
              </w:rPr>
              <w:t>（</w:t>
            </w:r>
            <w:r>
              <w:rPr>
                <w:rFonts w:hint="default" w:ascii="宋体" w:hAnsi="宋体" w:cs="Arial"/>
                <w:color w:val="auto"/>
                <w:sz w:val="24"/>
                <w:szCs w:val="24"/>
                <w:highlight w:val="none"/>
              </w:rPr>
              <w:t>2</w:t>
            </w:r>
            <w:r>
              <w:rPr>
                <w:rFonts w:hint="eastAsia" w:ascii="宋体" w:hAnsi="宋体" w:cs="Arial"/>
                <w:color w:val="auto"/>
                <w:sz w:val="24"/>
                <w:szCs w:val="24"/>
                <w:highlight w:val="none"/>
              </w:rPr>
              <w:t>）未提供证书：0分</w:t>
            </w:r>
          </w:p>
          <w:p>
            <w:pPr>
              <w:pStyle w:val="29"/>
              <w:keepNext w:val="0"/>
              <w:keepLines w:val="0"/>
              <w:suppressLineNumbers w:val="0"/>
              <w:spacing w:before="0" w:beforeAutospacing="0" w:after="0" w:afterAutospacing="0"/>
              <w:ind w:left="0" w:right="0"/>
              <w:rPr>
                <w:rFonts w:hint="eastAsia" w:ascii="宋体" w:hAnsi="宋体" w:cs="Arial"/>
                <w:color w:val="auto"/>
                <w:sz w:val="24"/>
                <w:szCs w:val="24"/>
                <w:highlight w:val="none"/>
              </w:rPr>
            </w:pPr>
          </w:p>
          <w:p>
            <w:pPr>
              <w:pStyle w:val="29"/>
              <w:keepNext w:val="0"/>
              <w:keepLines w:val="0"/>
              <w:suppressLineNumbers w:val="0"/>
              <w:spacing w:before="0" w:beforeAutospacing="0" w:after="0" w:afterAutospacing="0"/>
              <w:ind w:left="0" w:right="0"/>
              <w:rPr>
                <w:rFonts w:hint="eastAsia" w:ascii="宋体" w:hAnsi="宋体" w:cs="Arial"/>
                <w:color w:val="auto"/>
                <w:sz w:val="24"/>
                <w:szCs w:val="24"/>
                <w:highlight w:val="none"/>
              </w:rPr>
            </w:pPr>
          </w:p>
          <w:p>
            <w:pPr>
              <w:pStyle w:val="29"/>
              <w:keepNext w:val="0"/>
              <w:keepLines w:val="0"/>
              <w:suppressLineNumbers w:val="0"/>
              <w:spacing w:before="0" w:beforeAutospacing="0" w:after="0" w:afterAutospacing="0"/>
              <w:ind w:left="0" w:right="0"/>
              <w:rPr>
                <w:rFonts w:hint="eastAsia" w:ascii="宋体" w:hAnsi="宋体" w:cs="Arial"/>
                <w:color w:val="auto"/>
                <w:sz w:val="24"/>
                <w:szCs w:val="24"/>
                <w:highlight w:val="none"/>
                <w:lang w:val="en-US" w:eastAsia="zh-CN"/>
              </w:rPr>
            </w:pPr>
          </w:p>
        </w:tc>
        <w:tc>
          <w:tcPr>
            <w:tcW w:w="3155" w:type="dxa"/>
            <w:tcBorders>
              <w:top w:val="nil"/>
              <w:left w:val="single" w:color="auto" w:sz="4" w:space="0"/>
              <w:bottom w:val="nil"/>
            </w:tcBorders>
          </w:tcPr>
          <w:p>
            <w:pPr>
              <w:keepNext w:val="0"/>
              <w:keepLines w:val="0"/>
              <w:suppressLineNumbers w:val="0"/>
              <w:spacing w:before="0" w:beforeAutospacing="0" w:after="0" w:afterAutospacing="0" w:line="360" w:lineRule="auto"/>
              <w:ind w:left="0" w:right="0"/>
              <w:rPr>
                <w:rFonts w:hint="eastAsia" w:asciiTheme="minorHAnsi" w:hAnsiTheme="minorHAnsi" w:eastAsiaTheme="minorEastAsia" w:cstheme="minorBidi"/>
                <w:color w:val="auto"/>
                <w:kern w:val="2"/>
                <w:sz w:val="24"/>
                <w:szCs w:val="24"/>
                <w:highlight w:val="none"/>
                <w:lang w:val="en-US" w:eastAsia="zh-CN" w:bidi="ar-SA"/>
              </w:rPr>
            </w:pPr>
          </w:p>
        </w:tc>
      </w:tr>
      <w:tr>
        <w:tblPrEx>
          <w:tblCellMar>
            <w:top w:w="0" w:type="dxa"/>
            <w:left w:w="0" w:type="dxa"/>
            <w:bottom w:w="0" w:type="dxa"/>
            <w:right w:w="0" w:type="dxa"/>
          </w:tblCellMar>
        </w:tblPrEx>
        <w:trPr>
          <w:trHeight w:val="54" w:hRule="atLeast"/>
        </w:trPr>
        <w:tc>
          <w:tcPr>
            <w:tcW w:w="1090" w:type="dxa"/>
            <w:vMerge w:val="continue"/>
            <w:tcBorders>
              <w:left w:val="single" w:color="auto" w:sz="4" w:space="0"/>
              <w:right w:val="single" w:color="auto" w:sz="4" w:space="0"/>
            </w:tcBorders>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Cs/>
                <w:color w:val="auto"/>
                <w:sz w:val="24"/>
                <w:szCs w:val="24"/>
                <w:highlight w:val="none"/>
              </w:rPr>
            </w:pPr>
            <w:r>
              <w:rPr>
                <w:rFonts w:hint="eastAsia" w:ascii="宋体" w:hAnsi="宋体"/>
                <w:bCs/>
                <w:color w:val="auto"/>
                <w:sz w:val="24"/>
                <w:szCs w:val="24"/>
                <w:highlight w:val="none"/>
              </w:rPr>
              <w:t>知识产权评价</w:t>
            </w:r>
          </w:p>
          <w:p>
            <w:pPr>
              <w:keepNext w:val="0"/>
              <w:keepLines w:val="0"/>
              <w:suppressLineNumbers w:val="0"/>
              <w:spacing w:before="0" w:beforeAutospacing="0" w:after="0" w:afterAutospacing="0" w:line="360" w:lineRule="auto"/>
              <w:ind w:left="0" w:right="0"/>
              <w:jc w:val="center"/>
              <w:rPr>
                <w:rFonts w:hint="default" w:ascii="宋体" w:hAnsi="宋体" w:eastAsiaTheme="minorEastAsia" w:cstheme="minorBidi"/>
                <w:bCs/>
                <w:color w:val="auto"/>
                <w:kern w:val="2"/>
                <w:sz w:val="24"/>
                <w:szCs w:val="24"/>
                <w:highlight w:val="none"/>
                <w:lang w:val="en-US" w:eastAsia="zh-CN" w:bidi="ar-SA"/>
              </w:rPr>
            </w:pPr>
            <w:r>
              <w:rPr>
                <w:rFonts w:hint="eastAsia" w:ascii="宋体" w:hAnsi="宋体"/>
                <w:b/>
                <w:color w:val="auto"/>
                <w:sz w:val="24"/>
                <w:szCs w:val="24"/>
                <w:highlight w:val="none"/>
              </w:rPr>
              <w:t>(1分)</w:t>
            </w:r>
          </w:p>
        </w:tc>
        <w:tc>
          <w:tcPr>
            <w:tcW w:w="3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Theme="minorEastAsia" w:cstheme="minorBidi"/>
                <w:color w:val="auto"/>
                <w:kern w:val="2"/>
                <w:sz w:val="24"/>
                <w:szCs w:val="24"/>
                <w:highlight w:val="none"/>
                <w:lang w:val="en-US" w:eastAsia="zh-CN" w:bidi="ar-SA"/>
              </w:rPr>
            </w:pPr>
            <w:r>
              <w:rPr>
                <w:rFonts w:hint="eastAsia" w:ascii="宋体" w:hAnsi="宋体" w:cs="Arial"/>
                <w:color w:val="auto"/>
                <w:sz w:val="24"/>
                <w:szCs w:val="24"/>
                <w:highlight w:val="none"/>
              </w:rPr>
              <w:t>根据产品服务厂商具有医技预约平台系统的自主知识产权进行评价，须提供加盖公章的相应软件著作权证书（著作权登记时间以本项目招标公告发布之日前为准）作为证明材料。</w:t>
            </w:r>
          </w:p>
        </w:tc>
        <w:tc>
          <w:tcPr>
            <w:tcW w:w="3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bCs/>
                <w:color w:val="auto"/>
                <w:sz w:val="24"/>
                <w:szCs w:val="24"/>
                <w:highlight w:val="none"/>
              </w:rPr>
            </w:pPr>
          </w:p>
          <w:p>
            <w:pPr>
              <w:keepNext w:val="0"/>
              <w:keepLines w:val="0"/>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bCs/>
                <w:color w:val="auto"/>
                <w:sz w:val="24"/>
                <w:szCs w:val="24"/>
                <w:highlight w:val="none"/>
              </w:rPr>
              <w:t>（1）</w:t>
            </w:r>
            <w:r>
              <w:rPr>
                <w:rFonts w:hint="eastAsia" w:ascii="宋体" w:hAnsi="宋体" w:cs="Arial"/>
                <w:bCs/>
                <w:color w:val="auto"/>
                <w:kern w:val="0"/>
                <w:sz w:val="24"/>
                <w:szCs w:val="24"/>
                <w:highlight w:val="none"/>
              </w:rPr>
              <w:t>提供证书：1分</w:t>
            </w:r>
          </w:p>
          <w:p>
            <w:pPr>
              <w:keepNext w:val="0"/>
              <w:keepLines w:val="0"/>
              <w:suppressLineNumbers w:val="0"/>
              <w:spacing w:before="0" w:beforeAutospacing="0" w:after="0" w:afterAutospacing="0" w:line="360" w:lineRule="auto"/>
              <w:ind w:left="0" w:right="0"/>
              <w:rPr>
                <w:rFonts w:hint="eastAsia" w:ascii="宋体" w:hAnsi="宋体" w:cs="Arial"/>
                <w:bCs/>
                <w:color w:val="auto"/>
                <w:kern w:val="0"/>
                <w:sz w:val="24"/>
                <w:szCs w:val="24"/>
                <w:highlight w:val="none"/>
              </w:rPr>
            </w:pPr>
            <w:r>
              <w:rPr>
                <w:rFonts w:hint="eastAsia" w:ascii="宋体" w:hAnsi="宋体" w:cs="Arial"/>
                <w:bCs/>
                <w:color w:val="auto"/>
                <w:kern w:val="0"/>
                <w:sz w:val="24"/>
                <w:szCs w:val="24"/>
                <w:highlight w:val="none"/>
              </w:rPr>
              <w:t>（2）未提供证书：0分</w:t>
            </w:r>
          </w:p>
          <w:p>
            <w:pPr>
              <w:keepNext w:val="0"/>
              <w:keepLines w:val="0"/>
              <w:suppressLineNumbers w:val="0"/>
              <w:spacing w:before="0" w:beforeAutospacing="0" w:after="0" w:afterAutospacing="0" w:line="360" w:lineRule="auto"/>
              <w:ind w:left="0" w:right="0"/>
              <w:rPr>
                <w:rFonts w:hint="eastAsia" w:ascii="宋体" w:hAnsi="宋体" w:cs="Arial"/>
                <w:bCs/>
                <w:color w:val="auto"/>
                <w:kern w:val="0"/>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cs="Arial"/>
                <w:bCs/>
                <w:color w:val="auto"/>
                <w:kern w:val="0"/>
                <w:sz w:val="24"/>
                <w:szCs w:val="24"/>
                <w:highlight w:val="none"/>
                <w:lang w:val="en-US" w:eastAsia="zh-CN"/>
              </w:rPr>
            </w:pPr>
          </w:p>
        </w:tc>
        <w:tc>
          <w:tcPr>
            <w:tcW w:w="3155" w:type="dxa"/>
            <w:tcBorders>
              <w:top w:val="nil"/>
              <w:left w:val="single" w:color="auto" w:sz="4" w:space="0"/>
              <w:bottom w:val="nil"/>
            </w:tcBorders>
          </w:tcPr>
          <w:p>
            <w:pPr>
              <w:keepNext w:val="0"/>
              <w:keepLines w:val="0"/>
              <w:suppressLineNumbers w:val="0"/>
              <w:spacing w:before="0" w:beforeAutospacing="0" w:after="0" w:afterAutospacing="0" w:line="360" w:lineRule="auto"/>
              <w:ind w:left="0" w:right="0"/>
              <w:rPr>
                <w:rFonts w:hint="eastAsia" w:asciiTheme="minorHAnsi" w:hAnsiTheme="minorHAnsi" w:eastAsiaTheme="minorEastAsia" w:cstheme="minorBidi"/>
                <w:color w:val="auto"/>
                <w:kern w:val="2"/>
                <w:sz w:val="24"/>
                <w:szCs w:val="24"/>
                <w:highlight w:val="none"/>
                <w:lang w:val="en-US" w:eastAsia="zh-CN" w:bidi="ar-SA"/>
              </w:rPr>
            </w:pPr>
          </w:p>
        </w:tc>
      </w:tr>
      <w:tr>
        <w:tblPrEx>
          <w:tblCellMar>
            <w:top w:w="0" w:type="dxa"/>
            <w:left w:w="0" w:type="dxa"/>
            <w:bottom w:w="0" w:type="dxa"/>
            <w:right w:w="0" w:type="dxa"/>
          </w:tblCellMar>
        </w:tblPrEx>
        <w:trPr>
          <w:trHeight w:val="370" w:hRule="atLeast"/>
        </w:trPr>
        <w:tc>
          <w:tcPr>
            <w:tcW w:w="1090" w:type="dxa"/>
            <w:vMerge w:val="continue"/>
            <w:tcBorders>
              <w:left w:val="single" w:color="auto" w:sz="4" w:space="0"/>
              <w:right w:val="single" w:color="auto" w:sz="4" w:space="0"/>
            </w:tcBorders>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综合实力评价</w:t>
            </w:r>
          </w:p>
          <w:p>
            <w:pPr>
              <w:keepNext w:val="0"/>
              <w:keepLines w:val="0"/>
              <w:suppressLineNumbers w:val="0"/>
              <w:spacing w:before="0" w:beforeAutospacing="0" w:after="0" w:afterAutospacing="0" w:line="360" w:lineRule="auto"/>
              <w:ind w:left="0" w:right="0" w:firstLine="482" w:firstLineChars="200"/>
              <w:jc w:val="left"/>
              <w:rPr>
                <w:rFonts w:hint="default" w:ascii="宋体" w:hAnsi="宋体" w:cs="Arial" w:eastAsiaTheme="minorEastAsia"/>
                <w:color w:val="auto"/>
                <w:kern w:val="2"/>
                <w:sz w:val="24"/>
                <w:szCs w:val="24"/>
                <w:highlight w:val="none"/>
                <w:lang w:val="en-US" w:eastAsia="zh-CN" w:bidi="ar-SA"/>
              </w:rPr>
            </w:pPr>
            <w:r>
              <w:rPr>
                <w:rFonts w:hint="eastAsia" w:ascii="宋体" w:hAnsi="宋体" w:cs="Arial"/>
                <w:b/>
                <w:bCs/>
                <w:color w:val="auto"/>
                <w:sz w:val="24"/>
                <w:szCs w:val="24"/>
                <w:highlight w:val="none"/>
              </w:rPr>
              <w:t>(</w:t>
            </w:r>
            <w:r>
              <w:rPr>
                <w:rFonts w:hint="eastAsia" w:ascii="宋体" w:hAnsi="宋体" w:cs="Arial"/>
                <w:b/>
                <w:bCs/>
                <w:color w:val="auto"/>
                <w:sz w:val="24"/>
                <w:szCs w:val="24"/>
                <w:highlight w:val="none"/>
                <w:lang w:val="en-US" w:eastAsia="zh-CN"/>
              </w:rPr>
              <w:t>7</w:t>
            </w:r>
            <w:r>
              <w:rPr>
                <w:rFonts w:hint="eastAsia" w:ascii="宋体" w:hAnsi="宋体" w:cs="Arial"/>
                <w:b/>
                <w:bCs/>
                <w:color w:val="auto"/>
                <w:sz w:val="24"/>
                <w:szCs w:val="24"/>
                <w:highlight w:val="none"/>
              </w:rPr>
              <w:t>分)</w:t>
            </w:r>
          </w:p>
        </w:tc>
        <w:tc>
          <w:tcPr>
            <w:tcW w:w="3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cs="Arial" w:eastAsiaTheme="minorEastAsia"/>
                <w:color w:val="auto"/>
                <w:kern w:val="2"/>
                <w:sz w:val="24"/>
                <w:szCs w:val="24"/>
                <w:highlight w:val="none"/>
                <w:lang w:val="en-US" w:eastAsia="zh-CN" w:bidi="ar-SA"/>
              </w:rPr>
            </w:pPr>
            <w:r>
              <w:rPr>
                <w:rFonts w:hint="eastAsia" w:ascii="宋体" w:hAnsi="宋体" w:cs="Arial"/>
                <w:color w:val="auto"/>
                <w:sz w:val="24"/>
                <w:szCs w:val="24"/>
                <w:highlight w:val="none"/>
              </w:rPr>
              <w:t>根据产品服务厂商检查预约产品的用户通过国家医疗健康信息互联互通标准化成熟度测评四级甲等或以上等级进行评价，须提供中国卫生信息标准网（www.chiss.org.cn）公示的测评结果截图以及项目合同。</w:t>
            </w:r>
          </w:p>
        </w:tc>
        <w:tc>
          <w:tcPr>
            <w:tcW w:w="3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（1）互联互通标准化成熟度测评通过四级甲等（含四级甲等）以上等级：</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Arial" w:eastAsiaTheme="minorEastAsia"/>
                <w:color w:val="auto"/>
                <w:kern w:val="2"/>
                <w:sz w:val="24"/>
                <w:szCs w:val="24"/>
                <w:highlight w:val="none"/>
                <w:lang w:val="en-US" w:eastAsia="zh-CN" w:bidi="ar-SA"/>
              </w:rPr>
            </w:pPr>
            <w:r>
              <w:rPr>
                <w:rFonts w:hint="eastAsia" w:ascii="宋体" w:hAnsi="宋体" w:cs="Arial"/>
                <w:color w:val="auto"/>
                <w:sz w:val="24"/>
                <w:szCs w:val="24"/>
                <w:highlight w:val="none"/>
              </w:rPr>
              <w:t>（2）测评四甲以下等级：0分</w:t>
            </w:r>
          </w:p>
        </w:tc>
        <w:tc>
          <w:tcPr>
            <w:tcW w:w="3155" w:type="dxa"/>
            <w:vMerge w:val="restart"/>
            <w:tcBorders>
              <w:top w:val="nil"/>
              <w:left w:val="single" w:color="auto" w:sz="4" w:space="0"/>
            </w:tcBorders>
          </w:tcPr>
          <w:p>
            <w:pPr>
              <w:keepNext w:val="0"/>
              <w:keepLines w:val="0"/>
              <w:suppressLineNumbers w:val="0"/>
              <w:spacing w:before="0" w:beforeAutospacing="0" w:after="0" w:afterAutospacing="0" w:line="360" w:lineRule="auto"/>
              <w:ind w:left="0" w:right="0"/>
              <w:rPr>
                <w:rFonts w:hint="eastAsia" w:asciiTheme="minorHAnsi" w:hAnsiTheme="minorHAnsi" w:eastAsiaTheme="minorEastAsia" w:cstheme="minorBidi"/>
                <w:color w:val="auto"/>
                <w:kern w:val="2"/>
                <w:sz w:val="24"/>
                <w:szCs w:val="24"/>
                <w:highlight w:val="none"/>
                <w:lang w:val="en-US" w:eastAsia="zh-CN" w:bidi="ar-SA"/>
              </w:rPr>
            </w:pPr>
          </w:p>
        </w:tc>
      </w:tr>
      <w:tr>
        <w:tblPrEx>
          <w:tblCellMar>
            <w:top w:w="0" w:type="dxa"/>
            <w:left w:w="0" w:type="dxa"/>
            <w:bottom w:w="0" w:type="dxa"/>
            <w:right w:w="0" w:type="dxa"/>
          </w:tblCellMar>
        </w:tblPrEx>
        <w:trPr>
          <w:trHeight w:val="3028" w:hRule="atLeast"/>
        </w:trPr>
        <w:tc>
          <w:tcPr>
            <w:tcW w:w="1090" w:type="dxa"/>
            <w:vMerge w:val="continue"/>
            <w:tcBorders>
              <w:left w:val="single" w:color="auto" w:sz="4" w:space="0"/>
              <w:bottom w:val="nil"/>
              <w:right w:val="single" w:color="auto" w:sz="4" w:space="0"/>
            </w:tcBorders>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Theme="minorEastAsia" w:cstheme="minorBidi"/>
                <w:b/>
                <w:bCs/>
                <w:color w:val="auto"/>
                <w:kern w:val="2"/>
                <w:sz w:val="24"/>
                <w:szCs w:val="24"/>
                <w:highlight w:val="none"/>
                <w:lang w:val="en-US" w:eastAsia="zh-CN" w:bidi="ar-SA"/>
              </w:rPr>
            </w:pPr>
          </w:p>
        </w:tc>
        <w:tc>
          <w:tcPr>
            <w:tcW w:w="3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rPr>
              <w:t>根据产品服务厂商检查预约产品的用户通过国家卫健委</w:t>
            </w:r>
            <w:r>
              <w:rPr>
                <w:rFonts w:hint="default" w:ascii="宋体" w:hAnsi="宋体" w:cs="Arial"/>
                <w:color w:val="auto"/>
                <w:sz w:val="24"/>
                <w:szCs w:val="24"/>
                <w:highlight w:val="none"/>
              </w:rPr>
              <w:t>电子病历系统应用水平分级评价标准</w:t>
            </w:r>
            <w:r>
              <w:rPr>
                <w:rFonts w:hint="eastAsia" w:ascii="宋体" w:hAnsi="宋体" w:cs="Arial"/>
                <w:color w:val="auto"/>
                <w:sz w:val="24"/>
                <w:szCs w:val="24"/>
                <w:highlight w:val="none"/>
              </w:rPr>
              <w:t>五级以上等级评审，须提供</w:t>
            </w:r>
            <w:r>
              <w:rPr>
                <w:rFonts w:hint="default" w:ascii="宋体" w:hAnsi="宋体" w:cs="Arial"/>
                <w:color w:val="auto"/>
                <w:sz w:val="24"/>
                <w:szCs w:val="24"/>
                <w:highlight w:val="none"/>
              </w:rPr>
              <w:t>国家</w:t>
            </w:r>
            <w:r>
              <w:rPr>
                <w:rFonts w:hint="eastAsia" w:ascii="宋体" w:hAnsi="宋体" w:cs="Arial"/>
                <w:color w:val="auto"/>
                <w:sz w:val="24"/>
                <w:szCs w:val="24"/>
                <w:highlight w:val="none"/>
              </w:rPr>
              <w:t>卫健委</w:t>
            </w:r>
            <w:r>
              <w:rPr>
                <w:rFonts w:hint="default" w:ascii="宋体" w:hAnsi="宋体" w:cs="Arial"/>
                <w:color w:val="auto"/>
                <w:sz w:val="24"/>
                <w:szCs w:val="24"/>
                <w:highlight w:val="none"/>
              </w:rPr>
              <w:t>医院管理研究所</w:t>
            </w:r>
            <w:r>
              <w:rPr>
                <w:rFonts w:hint="eastAsia" w:ascii="宋体" w:hAnsi="宋体" w:cs="Arial"/>
                <w:color w:val="auto"/>
                <w:sz w:val="24"/>
                <w:szCs w:val="24"/>
                <w:highlight w:val="none"/>
              </w:rPr>
              <w:t>公示的测评结果截图以及项目合同。</w:t>
            </w:r>
          </w:p>
        </w:tc>
        <w:tc>
          <w:tcPr>
            <w:tcW w:w="3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（1）</w:t>
            </w:r>
            <w:r>
              <w:rPr>
                <w:rFonts w:hint="default" w:ascii="宋体" w:hAnsi="宋体" w:cs="Arial"/>
                <w:color w:val="auto"/>
                <w:sz w:val="24"/>
                <w:szCs w:val="24"/>
                <w:highlight w:val="none"/>
              </w:rPr>
              <w:t>电子病历系统应用水平分级评价标准</w:t>
            </w:r>
            <w:r>
              <w:rPr>
                <w:rFonts w:hint="eastAsia" w:ascii="宋体" w:hAnsi="宋体" w:cs="Arial"/>
                <w:color w:val="auto"/>
                <w:sz w:val="24"/>
                <w:szCs w:val="24"/>
                <w:highlight w:val="none"/>
                <w:lang w:val="en-US" w:eastAsia="zh-CN"/>
              </w:rPr>
              <w:t>五</w:t>
            </w:r>
            <w:r>
              <w:rPr>
                <w:rFonts w:hint="eastAsia" w:ascii="宋体" w:hAnsi="宋体" w:cs="Arial"/>
                <w:color w:val="auto"/>
                <w:sz w:val="24"/>
                <w:szCs w:val="24"/>
                <w:highlight w:val="none"/>
              </w:rPr>
              <w:t>级以上（含</w:t>
            </w:r>
            <w:r>
              <w:rPr>
                <w:rFonts w:hint="eastAsia" w:ascii="宋体" w:hAnsi="宋体" w:cs="Arial"/>
                <w:color w:val="auto"/>
                <w:sz w:val="24"/>
                <w:szCs w:val="24"/>
                <w:highlight w:val="none"/>
                <w:lang w:val="en-US" w:eastAsia="zh-CN"/>
              </w:rPr>
              <w:t>五</w:t>
            </w:r>
            <w:r>
              <w:rPr>
                <w:rFonts w:hint="eastAsia" w:ascii="宋体" w:hAnsi="宋体" w:cs="Arial"/>
                <w:color w:val="auto"/>
                <w:sz w:val="24"/>
                <w:szCs w:val="24"/>
                <w:highlight w:val="none"/>
              </w:rPr>
              <w:t>级）等级：</w:t>
            </w:r>
            <w:r>
              <w:rPr>
                <w:rFonts w:hint="eastAsia" w:ascii="宋体" w:hAnsi="宋体" w:cs="Arial"/>
                <w:color w:val="auto"/>
                <w:sz w:val="24"/>
                <w:szCs w:val="24"/>
                <w:highlight w:val="none"/>
                <w:lang w:val="en-US" w:eastAsia="zh-CN"/>
              </w:rPr>
              <w:t>4</w:t>
            </w:r>
            <w:r>
              <w:rPr>
                <w:rFonts w:hint="eastAsia" w:ascii="宋体" w:hAnsi="宋体" w:cs="Arial"/>
                <w:color w:val="auto"/>
                <w:sz w:val="24"/>
                <w:szCs w:val="24"/>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Arial" w:eastAsiaTheme="minorEastAsia"/>
                <w:color w:val="auto"/>
                <w:kern w:val="2"/>
                <w:sz w:val="24"/>
                <w:szCs w:val="24"/>
                <w:highlight w:val="none"/>
                <w:lang w:val="en-US" w:eastAsia="zh-CN" w:bidi="ar-SA"/>
              </w:rPr>
            </w:pPr>
            <w:r>
              <w:rPr>
                <w:rFonts w:hint="eastAsia" w:ascii="宋体" w:hAnsi="宋体" w:cs="Arial"/>
                <w:color w:val="auto"/>
                <w:sz w:val="24"/>
                <w:szCs w:val="24"/>
                <w:highlight w:val="none"/>
              </w:rPr>
              <w:t>（2）</w:t>
            </w:r>
            <w:r>
              <w:rPr>
                <w:rFonts w:hint="default" w:ascii="宋体" w:hAnsi="宋体" w:cs="Arial"/>
                <w:color w:val="auto"/>
                <w:sz w:val="24"/>
                <w:szCs w:val="24"/>
                <w:highlight w:val="none"/>
              </w:rPr>
              <w:t>电子病历系统应用水平分级评价标准</w:t>
            </w:r>
            <w:r>
              <w:rPr>
                <w:rFonts w:hint="eastAsia" w:ascii="宋体" w:hAnsi="宋体" w:cs="Arial"/>
                <w:color w:val="auto"/>
                <w:sz w:val="24"/>
                <w:szCs w:val="24"/>
                <w:highlight w:val="none"/>
              </w:rPr>
              <w:t>四级以下等级：0分</w:t>
            </w:r>
          </w:p>
        </w:tc>
        <w:tc>
          <w:tcPr>
            <w:tcW w:w="3155" w:type="dxa"/>
            <w:vMerge w:val="continue"/>
            <w:tcBorders>
              <w:left w:val="single" w:color="auto" w:sz="4" w:space="0"/>
              <w:bottom w:val="nil"/>
            </w:tcBorders>
          </w:tcPr>
          <w:p>
            <w:pPr>
              <w:keepNext w:val="0"/>
              <w:keepLines w:val="0"/>
              <w:suppressLineNumbers w:val="0"/>
              <w:spacing w:before="0" w:beforeAutospacing="0" w:after="0" w:afterAutospacing="0" w:line="360" w:lineRule="auto"/>
              <w:ind w:left="0" w:right="0"/>
              <w:rPr>
                <w:rFonts w:hint="eastAsia" w:asciiTheme="minorHAnsi" w:hAnsiTheme="minorHAnsi" w:eastAsiaTheme="minorEastAsia" w:cstheme="minorBidi"/>
                <w:color w:val="auto"/>
                <w:kern w:val="2"/>
                <w:sz w:val="24"/>
                <w:szCs w:val="24"/>
                <w:highlight w:val="none"/>
                <w:lang w:val="en-US" w:eastAsia="zh-CN" w:bidi="ar-SA"/>
              </w:rPr>
            </w:pPr>
          </w:p>
        </w:tc>
      </w:tr>
      <w:tr>
        <w:tblPrEx>
          <w:tblCellMar>
            <w:top w:w="0" w:type="dxa"/>
            <w:left w:w="0" w:type="dxa"/>
            <w:bottom w:w="0" w:type="dxa"/>
            <w:right w:w="0" w:type="dxa"/>
          </w:tblCellMar>
        </w:tblPrEx>
        <w:trPr>
          <w:trHeight w:val="54" w:hRule="atLeast"/>
        </w:trPr>
        <w:tc>
          <w:tcPr>
            <w:tcW w:w="1090" w:type="dxa"/>
            <w:vMerge w:val="restart"/>
            <w:tcBorders>
              <w:top w:val="nil"/>
              <w:left w:val="single" w:color="auto" w:sz="4" w:space="0"/>
              <w:right w:val="single" w:color="auto" w:sz="4" w:space="0"/>
            </w:tcBorders>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案例评价</w:t>
            </w:r>
          </w:p>
          <w:p>
            <w:pPr>
              <w:keepNext w:val="0"/>
              <w:keepLines w:val="0"/>
              <w:suppressLineNumbers w:val="0"/>
              <w:spacing w:before="0" w:beforeAutospacing="0" w:after="0" w:afterAutospacing="0" w:line="360" w:lineRule="auto"/>
              <w:ind w:left="0" w:right="0"/>
              <w:jc w:val="left"/>
              <w:rPr>
                <w:rFonts w:hint="default" w:ascii="宋体" w:hAnsi="宋体" w:cs="Arial" w:eastAsiaTheme="minorEastAsia"/>
                <w:color w:val="auto"/>
                <w:kern w:val="2"/>
                <w:sz w:val="24"/>
                <w:szCs w:val="24"/>
                <w:highlight w:val="none"/>
                <w:lang w:val="en-US" w:eastAsia="zh-CN" w:bidi="ar-SA"/>
              </w:rPr>
            </w:pPr>
            <w:r>
              <w:rPr>
                <w:rFonts w:hint="eastAsia" w:ascii="宋体" w:hAnsi="宋体" w:cs="Arial"/>
                <w:b/>
                <w:bCs/>
                <w:color w:val="auto"/>
                <w:sz w:val="24"/>
                <w:szCs w:val="24"/>
                <w:highlight w:val="none"/>
              </w:rPr>
              <w:t>(</w:t>
            </w:r>
            <w:r>
              <w:rPr>
                <w:rFonts w:hint="eastAsia" w:ascii="宋体" w:hAnsi="宋体" w:cs="Arial"/>
                <w:b/>
                <w:bCs/>
                <w:color w:val="auto"/>
                <w:sz w:val="24"/>
                <w:szCs w:val="24"/>
                <w:highlight w:val="none"/>
                <w:lang w:val="en-US" w:eastAsia="zh-CN"/>
              </w:rPr>
              <w:t>7</w:t>
            </w:r>
            <w:r>
              <w:rPr>
                <w:rFonts w:hint="eastAsia" w:ascii="宋体" w:hAnsi="宋体" w:cs="Arial"/>
                <w:b/>
                <w:bCs/>
                <w:color w:val="auto"/>
                <w:sz w:val="24"/>
                <w:szCs w:val="24"/>
                <w:highlight w:val="none"/>
              </w:rPr>
              <w:t>分)</w:t>
            </w:r>
          </w:p>
        </w:tc>
        <w:tc>
          <w:tcPr>
            <w:tcW w:w="3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cs="Arial" w:eastAsiaTheme="minorEastAsia"/>
                <w:color w:val="auto"/>
                <w:kern w:val="2"/>
                <w:sz w:val="24"/>
                <w:szCs w:val="24"/>
                <w:highlight w:val="none"/>
                <w:lang w:val="en-US" w:eastAsia="zh-CN" w:bidi="ar-SA"/>
              </w:rPr>
            </w:pPr>
            <w:r>
              <w:rPr>
                <w:rFonts w:hint="eastAsia" w:ascii="宋体" w:hAnsi="宋体" w:cs="Arial"/>
                <w:color w:val="auto"/>
                <w:sz w:val="24"/>
                <w:szCs w:val="24"/>
                <w:highlight w:val="none"/>
              </w:rPr>
              <w:t>根据产品服务厂商20</w:t>
            </w:r>
            <w:r>
              <w:rPr>
                <w:rFonts w:hint="default" w:ascii="宋体" w:hAnsi="宋体" w:cs="Arial"/>
                <w:color w:val="auto"/>
                <w:sz w:val="24"/>
                <w:szCs w:val="24"/>
                <w:highlight w:val="none"/>
              </w:rPr>
              <w:t>20</w:t>
            </w:r>
            <w:r>
              <w:rPr>
                <w:rFonts w:hint="eastAsia" w:ascii="宋体" w:hAnsi="宋体" w:cs="Arial"/>
                <w:color w:val="auto"/>
                <w:sz w:val="24"/>
                <w:szCs w:val="24"/>
                <w:highlight w:val="none"/>
              </w:rPr>
              <w:t>年</w:t>
            </w:r>
            <w:r>
              <w:rPr>
                <w:rFonts w:hint="eastAsia" w:ascii="宋体" w:hAnsi="宋体" w:cs="Arial"/>
                <w:color w:val="auto"/>
                <w:sz w:val="24"/>
                <w:szCs w:val="24"/>
                <w:highlight w:val="none"/>
                <w:lang w:val="en-US" w:eastAsia="zh-CN"/>
              </w:rPr>
              <w:t>1月1日</w:t>
            </w:r>
            <w:r>
              <w:rPr>
                <w:rFonts w:hint="eastAsia" w:ascii="宋体" w:hAnsi="宋体" w:cs="Arial"/>
                <w:color w:val="auto"/>
                <w:sz w:val="24"/>
                <w:szCs w:val="24"/>
                <w:highlight w:val="none"/>
              </w:rPr>
              <w:t>以来</w:t>
            </w: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lang w:val="en-US" w:eastAsia="zh-CN"/>
              </w:rPr>
              <w:t>以合同签订时间为准</w:t>
            </w: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rPr>
              <w:t>检查预约系统在全国类似的建设案例进行评价</w:t>
            </w: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rPr>
              <w:t>（须提供项目合同复印件或者同期中标通知书作为证明材料）。</w:t>
            </w:r>
          </w:p>
        </w:tc>
        <w:tc>
          <w:tcPr>
            <w:tcW w:w="3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（1）3个案例：</w:t>
            </w:r>
            <w:r>
              <w:rPr>
                <w:rFonts w:hint="eastAsia" w:ascii="宋体" w:hAnsi="宋体" w:cs="Arial"/>
                <w:color w:val="auto"/>
                <w:sz w:val="24"/>
                <w:szCs w:val="24"/>
                <w:highlight w:val="none"/>
                <w:lang w:val="en-US" w:eastAsia="zh-CN"/>
              </w:rPr>
              <w:t>7</w:t>
            </w:r>
            <w:r>
              <w:rPr>
                <w:rFonts w:hint="eastAsia" w:ascii="宋体" w:hAnsi="宋体" w:cs="Arial"/>
                <w:color w:val="auto"/>
                <w:sz w:val="24"/>
                <w:szCs w:val="24"/>
                <w:highlight w:val="none"/>
              </w:rPr>
              <w:t>分</w:t>
            </w:r>
          </w:p>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（2）2个案例：</w:t>
            </w:r>
            <w:r>
              <w:rPr>
                <w:rFonts w:hint="eastAsia" w:ascii="宋体" w:hAnsi="宋体" w:cs="Arial"/>
                <w:color w:val="auto"/>
                <w:sz w:val="24"/>
                <w:szCs w:val="24"/>
                <w:highlight w:val="none"/>
                <w:lang w:val="en-US" w:eastAsia="zh-CN"/>
              </w:rPr>
              <w:t>4</w:t>
            </w:r>
            <w:r>
              <w:rPr>
                <w:rFonts w:hint="eastAsia" w:ascii="宋体" w:hAnsi="宋体" w:cs="Arial"/>
                <w:color w:val="auto"/>
                <w:sz w:val="24"/>
                <w:szCs w:val="24"/>
                <w:highlight w:val="none"/>
              </w:rPr>
              <w:t>分</w:t>
            </w:r>
          </w:p>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（3）1个案例：1分</w:t>
            </w:r>
          </w:p>
          <w:p>
            <w:pPr>
              <w:keepNext w:val="0"/>
              <w:keepLines w:val="0"/>
              <w:suppressLineNumbers w:val="0"/>
              <w:spacing w:before="0" w:beforeAutospacing="0" w:after="0" w:afterAutospacing="0" w:line="360" w:lineRule="auto"/>
              <w:ind w:left="0" w:right="0"/>
              <w:jc w:val="left"/>
              <w:rPr>
                <w:rFonts w:hint="eastAsia" w:ascii="宋体" w:hAnsi="宋体" w:cs="Arial" w:eastAsiaTheme="minorEastAsia"/>
                <w:color w:val="auto"/>
                <w:kern w:val="2"/>
                <w:sz w:val="24"/>
                <w:szCs w:val="24"/>
                <w:highlight w:val="none"/>
                <w:lang w:val="en-US" w:eastAsia="zh-CN" w:bidi="ar-SA"/>
              </w:rPr>
            </w:pPr>
            <w:r>
              <w:rPr>
                <w:rFonts w:hint="eastAsia" w:ascii="宋体" w:hAnsi="宋体" w:cs="Arial"/>
                <w:color w:val="auto"/>
                <w:sz w:val="24"/>
                <w:szCs w:val="24"/>
                <w:highlight w:val="none"/>
              </w:rPr>
              <w:t>（4）无案例：0分</w:t>
            </w:r>
          </w:p>
        </w:tc>
        <w:tc>
          <w:tcPr>
            <w:tcW w:w="3155" w:type="dxa"/>
            <w:vMerge w:val="continue"/>
            <w:tcBorders>
              <w:left w:val="single" w:color="auto" w:sz="4" w:space="0"/>
              <w:bottom w:val="nil"/>
            </w:tcBorders>
          </w:tcPr>
          <w:p>
            <w:pPr>
              <w:keepNext w:val="0"/>
              <w:keepLines w:val="0"/>
              <w:suppressLineNumbers w:val="0"/>
              <w:spacing w:before="0" w:beforeAutospacing="0" w:after="0" w:afterAutospacing="0" w:line="360" w:lineRule="auto"/>
              <w:ind w:left="0" w:right="0"/>
              <w:rPr>
                <w:rFonts w:hint="eastAsia" w:asciiTheme="minorHAnsi" w:hAnsiTheme="minorHAnsi" w:eastAsiaTheme="minorEastAsia" w:cstheme="minorBidi"/>
                <w:color w:val="auto"/>
                <w:kern w:val="2"/>
                <w:sz w:val="24"/>
                <w:szCs w:val="24"/>
                <w:highlight w:val="none"/>
                <w:lang w:val="en-US" w:eastAsia="zh-CN" w:bidi="ar-SA"/>
              </w:rPr>
            </w:pPr>
          </w:p>
        </w:tc>
      </w:tr>
      <w:tr>
        <w:tblPrEx>
          <w:tblCellMar>
            <w:top w:w="0" w:type="dxa"/>
            <w:left w:w="0" w:type="dxa"/>
            <w:bottom w:w="0" w:type="dxa"/>
            <w:right w:w="0" w:type="dxa"/>
          </w:tblCellMar>
        </w:tblPrEx>
        <w:trPr>
          <w:trHeight w:val="344" w:hRule="atLeast"/>
        </w:trPr>
        <w:tc>
          <w:tcPr>
            <w:tcW w:w="1090" w:type="dxa"/>
            <w:vMerge w:val="continue"/>
            <w:tcBorders>
              <w:left w:val="single" w:color="auto" w:sz="4" w:space="0"/>
              <w:right w:val="single" w:color="auto" w:sz="4" w:space="0"/>
            </w:tcBorders>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驻场人员评价</w:t>
            </w:r>
          </w:p>
          <w:p>
            <w:pPr>
              <w:keepNext w:val="0"/>
              <w:keepLines w:val="0"/>
              <w:suppressLineNumbers w:val="0"/>
              <w:spacing w:before="0" w:beforeAutospacing="0" w:after="0" w:afterAutospacing="0" w:line="360" w:lineRule="auto"/>
              <w:ind w:left="0" w:right="0"/>
              <w:jc w:val="left"/>
              <w:rPr>
                <w:rFonts w:hint="default" w:ascii="宋体" w:hAnsi="宋体" w:cs="Arial" w:eastAsiaTheme="minorEastAsia"/>
                <w:color w:val="auto"/>
                <w:kern w:val="2"/>
                <w:sz w:val="24"/>
                <w:szCs w:val="24"/>
                <w:highlight w:val="none"/>
                <w:lang w:val="en-US" w:eastAsia="zh-CN" w:bidi="ar-SA"/>
              </w:rPr>
            </w:pPr>
            <w:r>
              <w:rPr>
                <w:rFonts w:hint="eastAsia" w:ascii="宋体" w:hAnsi="宋体" w:cs="Arial"/>
                <w:b/>
                <w:bCs/>
                <w:color w:val="auto"/>
                <w:sz w:val="24"/>
                <w:szCs w:val="24"/>
                <w:highlight w:val="none"/>
              </w:rPr>
              <w:t>(</w:t>
            </w:r>
            <w:r>
              <w:rPr>
                <w:rFonts w:hint="eastAsia" w:ascii="宋体" w:hAnsi="宋体" w:cs="Arial"/>
                <w:b/>
                <w:bCs/>
                <w:color w:val="auto"/>
                <w:sz w:val="24"/>
                <w:szCs w:val="24"/>
                <w:highlight w:val="none"/>
                <w:lang w:val="en-US" w:eastAsia="zh-CN"/>
              </w:rPr>
              <w:t>2</w:t>
            </w:r>
            <w:r>
              <w:rPr>
                <w:rFonts w:hint="eastAsia" w:ascii="宋体" w:hAnsi="宋体" w:cs="Arial"/>
                <w:b/>
                <w:bCs/>
                <w:color w:val="auto"/>
                <w:sz w:val="24"/>
                <w:szCs w:val="24"/>
                <w:highlight w:val="none"/>
              </w:rPr>
              <w:t>分)</w:t>
            </w:r>
          </w:p>
        </w:tc>
        <w:tc>
          <w:tcPr>
            <w:tcW w:w="3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cs="Arial" w:eastAsiaTheme="minorEastAsia"/>
                <w:color w:val="auto"/>
                <w:kern w:val="2"/>
                <w:sz w:val="24"/>
                <w:szCs w:val="24"/>
                <w:highlight w:val="none"/>
                <w:lang w:val="en-US" w:eastAsia="zh-CN" w:bidi="ar-SA"/>
              </w:rPr>
            </w:pPr>
            <w:r>
              <w:rPr>
                <w:rFonts w:hint="eastAsia" w:ascii="宋体" w:hAnsi="宋体" w:cs="Arial"/>
                <w:color w:val="auto"/>
                <w:sz w:val="24"/>
                <w:szCs w:val="24"/>
                <w:highlight w:val="none"/>
              </w:rPr>
              <w:t>根据产品服务厂商承诺在保修期内提供</w:t>
            </w:r>
            <w:r>
              <w:rPr>
                <w:rFonts w:hint="eastAsia" w:ascii="宋体" w:hAnsi="宋体" w:cs="Arial"/>
                <w:color w:val="auto"/>
                <w:sz w:val="24"/>
                <w:szCs w:val="24"/>
                <w:highlight w:val="none"/>
                <w:lang w:val="en-US" w:eastAsia="zh-CN"/>
              </w:rPr>
              <w:t>本地化的驻场技术服务团队，</w:t>
            </w:r>
            <w:r>
              <w:rPr>
                <w:rFonts w:hint="eastAsia" w:ascii="宋体" w:hAnsi="宋体" w:cs="Arial"/>
                <w:color w:val="auto"/>
                <w:sz w:val="24"/>
                <w:szCs w:val="24"/>
                <w:highlight w:val="none"/>
              </w:rPr>
              <w:t>（至少具有</w:t>
            </w:r>
            <w:r>
              <w:rPr>
                <w:rFonts w:hint="default" w:ascii="宋体" w:hAnsi="宋体" w:cs="Arial"/>
                <w:color w:val="auto"/>
                <w:sz w:val="24"/>
                <w:szCs w:val="24"/>
                <w:highlight w:val="none"/>
              </w:rPr>
              <w:t>2</w:t>
            </w:r>
            <w:r>
              <w:rPr>
                <w:rFonts w:hint="eastAsia" w:ascii="宋体" w:hAnsi="宋体" w:cs="Arial"/>
                <w:color w:val="auto"/>
                <w:sz w:val="24"/>
                <w:szCs w:val="24"/>
                <w:highlight w:val="none"/>
              </w:rPr>
              <w:t>年及以上工作经验的工程师，须在投标文件中提供承诺。</w:t>
            </w:r>
          </w:p>
        </w:tc>
        <w:tc>
          <w:tcPr>
            <w:tcW w:w="3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cs="Arial"/>
                <w:color w:val="auto"/>
                <w:sz w:val="24"/>
                <w:szCs w:val="24"/>
                <w:highlight w:val="none"/>
              </w:rPr>
            </w:pPr>
            <w:r>
              <w:rPr>
                <w:rFonts w:hint="eastAsia" w:ascii="宋体" w:hAnsi="宋体" w:cs="Arial"/>
                <w:color w:val="auto"/>
                <w:sz w:val="24"/>
                <w:szCs w:val="24"/>
                <w:highlight w:val="none"/>
              </w:rPr>
              <w:t>（1）提供</w:t>
            </w:r>
            <w:r>
              <w:rPr>
                <w:rFonts w:hint="eastAsia" w:ascii="宋体" w:hAnsi="宋体" w:cs="Arial"/>
                <w:color w:val="auto"/>
                <w:sz w:val="24"/>
                <w:szCs w:val="24"/>
                <w:highlight w:val="none"/>
                <w:lang w:val="en-US" w:eastAsia="zh-CN"/>
              </w:rPr>
              <w:t>本地化驻场技术服务团队</w:t>
            </w:r>
            <w:r>
              <w:rPr>
                <w:rFonts w:hint="eastAsia" w:ascii="宋体" w:hAnsi="宋体" w:cs="Arial"/>
                <w:color w:val="auto"/>
                <w:sz w:val="24"/>
                <w:szCs w:val="24"/>
                <w:highlight w:val="none"/>
              </w:rPr>
              <w:t>：</w:t>
            </w:r>
            <w:r>
              <w:rPr>
                <w:rFonts w:hint="eastAsia" w:ascii="宋体" w:hAnsi="宋体" w:cs="Arial"/>
                <w:color w:val="auto"/>
                <w:sz w:val="24"/>
                <w:szCs w:val="24"/>
                <w:highlight w:val="none"/>
                <w:lang w:val="en-US" w:eastAsia="zh-CN"/>
              </w:rPr>
              <w:t>2</w:t>
            </w:r>
            <w:r>
              <w:rPr>
                <w:rFonts w:hint="eastAsia" w:ascii="宋体" w:hAnsi="宋体" w:cs="Arial"/>
                <w:color w:val="auto"/>
                <w:sz w:val="24"/>
                <w:szCs w:val="24"/>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Arial" w:eastAsiaTheme="minorEastAsia"/>
                <w:color w:val="auto"/>
                <w:kern w:val="2"/>
                <w:sz w:val="24"/>
                <w:szCs w:val="24"/>
                <w:highlight w:val="none"/>
                <w:lang w:val="en-US" w:eastAsia="zh-CN" w:bidi="ar-SA"/>
              </w:rPr>
            </w:pPr>
            <w:r>
              <w:rPr>
                <w:rFonts w:hint="eastAsia" w:ascii="宋体" w:hAnsi="宋体" w:cs="Arial"/>
                <w:color w:val="auto"/>
                <w:sz w:val="24"/>
                <w:szCs w:val="24"/>
                <w:highlight w:val="none"/>
              </w:rPr>
              <w:t>（2）未</w:t>
            </w:r>
            <w:r>
              <w:rPr>
                <w:rFonts w:hint="eastAsia" w:ascii="宋体" w:hAnsi="宋体" w:cs="Arial"/>
                <w:color w:val="auto"/>
                <w:sz w:val="24"/>
                <w:szCs w:val="24"/>
                <w:highlight w:val="none"/>
                <w:lang w:val="en-US" w:eastAsia="zh-CN"/>
              </w:rPr>
              <w:t>提供承诺</w:t>
            </w:r>
            <w:r>
              <w:rPr>
                <w:rFonts w:hint="eastAsia" w:ascii="宋体" w:hAnsi="宋体" w:cs="Arial"/>
                <w:color w:val="auto"/>
                <w:sz w:val="24"/>
                <w:szCs w:val="24"/>
                <w:highlight w:val="none"/>
              </w:rPr>
              <w:t>：0分</w:t>
            </w:r>
          </w:p>
        </w:tc>
        <w:tc>
          <w:tcPr>
            <w:tcW w:w="3155" w:type="dxa"/>
            <w:vMerge w:val="continue"/>
            <w:tcBorders>
              <w:left w:val="single" w:color="auto" w:sz="4" w:space="0"/>
              <w:bottom w:val="nil"/>
            </w:tcBorders>
          </w:tcPr>
          <w:p>
            <w:pPr>
              <w:keepNext w:val="0"/>
              <w:keepLines w:val="0"/>
              <w:suppressLineNumbers w:val="0"/>
              <w:spacing w:before="0" w:beforeAutospacing="0" w:after="0" w:afterAutospacing="0" w:line="360" w:lineRule="auto"/>
              <w:ind w:left="0" w:right="0"/>
              <w:rPr>
                <w:rFonts w:hint="eastAsia" w:asciiTheme="minorHAnsi" w:hAnsiTheme="minorHAnsi" w:eastAsiaTheme="minorEastAsia" w:cstheme="minorBidi"/>
                <w:color w:val="auto"/>
                <w:kern w:val="2"/>
                <w:sz w:val="24"/>
                <w:szCs w:val="24"/>
                <w:highlight w:val="none"/>
                <w:lang w:val="en-US" w:eastAsia="zh-CN" w:bidi="ar-SA"/>
              </w:rPr>
            </w:pPr>
          </w:p>
        </w:tc>
      </w:tr>
      <w:tr>
        <w:tblPrEx>
          <w:tblCellMar>
            <w:top w:w="0" w:type="dxa"/>
            <w:left w:w="0" w:type="dxa"/>
            <w:bottom w:w="0" w:type="dxa"/>
            <w:right w:w="0" w:type="dxa"/>
          </w:tblCellMar>
        </w:tblPrEx>
        <w:trPr>
          <w:trHeight w:val="376" w:hRule="atLeast"/>
        </w:trPr>
        <w:tc>
          <w:tcPr>
            <w:tcW w:w="1090" w:type="dxa"/>
            <w:vMerge w:val="continue"/>
            <w:tcBorders>
              <w:left w:val="single" w:color="auto" w:sz="4" w:space="0"/>
              <w:bottom w:val="single" w:color="auto" w:sz="4" w:space="0"/>
              <w:right w:val="single" w:color="auto" w:sz="4" w:space="0"/>
            </w:tcBorders>
          </w:tcPr>
          <w:p>
            <w:pPr>
              <w:keepNext w:val="0"/>
              <w:keepLines w:val="0"/>
              <w:widowControl/>
              <w:suppressLineNumbers w:val="0"/>
              <w:autoSpaceDE/>
              <w:autoSpaceDN/>
              <w:snapToGrid/>
              <w:spacing w:before="0" w:beforeAutospacing="0" w:after="0" w:afterAutospacing="0" w:line="240" w:lineRule="auto"/>
              <w:ind w:left="0" w:right="0" w:firstLine="0"/>
              <w:jc w:val="left"/>
              <w:rPr>
                <w:rFonts w:hint="default" w:ascii="宋体" w:hAnsi="宋体" w:eastAsia="宋体"/>
                <w:b w:val="0"/>
                <w:color w:val="auto"/>
                <w:w w:val="100"/>
                <w:sz w:val="21"/>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技术支持评价</w:t>
            </w:r>
          </w:p>
          <w:p>
            <w:pPr>
              <w:keepNext w:val="0"/>
              <w:keepLines w:val="0"/>
              <w:suppressLineNumbers w:val="0"/>
              <w:spacing w:before="0" w:beforeAutospacing="0" w:after="0" w:afterAutospacing="0" w:line="360" w:lineRule="auto"/>
              <w:ind w:left="0" w:right="0"/>
              <w:jc w:val="center"/>
              <w:rPr>
                <w:rFonts w:hint="default" w:ascii="宋体" w:hAnsi="宋体" w:eastAsiaTheme="minorEastAsia" w:cstheme="minorBidi"/>
                <w:b/>
                <w:color w:val="auto"/>
                <w:kern w:val="2"/>
                <w:sz w:val="24"/>
                <w:szCs w:val="24"/>
                <w:highlight w:val="none"/>
                <w:lang w:val="en-US" w:eastAsia="zh-CN" w:bidi="ar-SA"/>
              </w:rPr>
            </w:pPr>
            <w:r>
              <w:rPr>
                <w:rFonts w:hint="eastAsia" w:ascii="宋体" w:hAnsi="宋体" w:cs="Arial"/>
                <w:b/>
                <w:bCs/>
                <w:color w:val="auto"/>
                <w:kern w:val="0"/>
                <w:sz w:val="24"/>
                <w:szCs w:val="24"/>
                <w:highlight w:val="none"/>
              </w:rPr>
              <w:t>(</w:t>
            </w:r>
            <w:r>
              <w:rPr>
                <w:rFonts w:hint="eastAsia" w:ascii="宋体" w:hAnsi="宋体" w:cs="Arial"/>
                <w:b/>
                <w:bCs/>
                <w:color w:val="auto"/>
                <w:kern w:val="0"/>
                <w:sz w:val="24"/>
                <w:szCs w:val="24"/>
                <w:highlight w:val="none"/>
                <w:lang w:val="en-US" w:eastAsia="zh-CN"/>
              </w:rPr>
              <w:t>2</w:t>
            </w:r>
            <w:r>
              <w:rPr>
                <w:rFonts w:hint="eastAsia" w:ascii="宋体" w:hAnsi="宋体" w:cs="Arial"/>
                <w:b/>
                <w:bCs/>
                <w:color w:val="auto"/>
                <w:kern w:val="0"/>
                <w:sz w:val="24"/>
                <w:szCs w:val="24"/>
                <w:highlight w:val="none"/>
              </w:rPr>
              <w:t>分)</w:t>
            </w:r>
          </w:p>
        </w:tc>
        <w:tc>
          <w:tcPr>
            <w:tcW w:w="3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cs="Arial" w:eastAsiaTheme="minorEastAsia"/>
                <w:color w:val="auto"/>
                <w:kern w:val="2"/>
                <w:sz w:val="24"/>
                <w:szCs w:val="24"/>
                <w:highlight w:val="none"/>
                <w:lang w:val="en-US" w:eastAsia="zh-CN" w:bidi="ar-SA"/>
              </w:rPr>
            </w:pPr>
            <w:r>
              <w:rPr>
                <w:rFonts w:hint="eastAsia" w:ascii="宋体" w:hAnsi="宋体" w:cs="Arial"/>
                <w:color w:val="auto"/>
                <w:sz w:val="24"/>
                <w:szCs w:val="24"/>
                <w:highlight w:val="none"/>
              </w:rPr>
              <w:t>根据产品服务厂商</w:t>
            </w:r>
            <w:r>
              <w:rPr>
                <w:rFonts w:hint="eastAsia" w:ascii="宋体" w:hAnsi="宋体" w:cs="Arial"/>
                <w:bCs/>
                <w:color w:val="auto"/>
                <w:kern w:val="0"/>
                <w:sz w:val="24"/>
                <w:szCs w:val="24"/>
                <w:highlight w:val="none"/>
              </w:rPr>
              <w:t>承诺在项目安装验收时派驻1名</w:t>
            </w:r>
            <w:r>
              <w:rPr>
                <w:rFonts w:hint="eastAsia" w:ascii="宋体" w:hAnsi="宋体" w:cs="Arial"/>
                <w:bCs/>
                <w:color w:val="auto"/>
                <w:kern w:val="0"/>
                <w:sz w:val="24"/>
                <w:szCs w:val="24"/>
                <w:highlight w:val="none"/>
                <w:lang w:val="en-US" w:eastAsia="zh-CN"/>
              </w:rPr>
              <w:t>实施</w:t>
            </w:r>
            <w:r>
              <w:rPr>
                <w:rFonts w:hint="eastAsia" w:ascii="宋体" w:hAnsi="宋体" w:cs="Arial"/>
                <w:bCs/>
                <w:color w:val="auto"/>
                <w:kern w:val="0"/>
                <w:sz w:val="24"/>
                <w:szCs w:val="24"/>
                <w:highlight w:val="none"/>
              </w:rPr>
              <w:t>技术人员驻场，且保证验收合格交付后提供7×24 小时免费电话技术支持，电话支持无法解决的问题必须4小时之内安排高级别工程师到现场妥善解决。(</w:t>
            </w:r>
            <w:r>
              <w:rPr>
                <w:rFonts w:hint="eastAsia" w:ascii="宋体" w:hAnsi="宋体" w:cs="Arial"/>
                <w:color w:val="auto"/>
                <w:sz w:val="24"/>
                <w:szCs w:val="24"/>
                <w:highlight w:val="none"/>
              </w:rPr>
              <w:t>产品服务厂</w:t>
            </w:r>
            <w:r>
              <w:rPr>
                <w:rFonts w:hint="eastAsia" w:ascii="宋体" w:hAnsi="宋体" w:cs="Arial"/>
                <w:bCs/>
                <w:color w:val="auto"/>
                <w:kern w:val="0"/>
                <w:sz w:val="24"/>
                <w:szCs w:val="24"/>
                <w:highlight w:val="none"/>
              </w:rPr>
              <w:t>商须在投标文件中提供承诺)</w:t>
            </w:r>
          </w:p>
        </w:tc>
        <w:tc>
          <w:tcPr>
            <w:tcW w:w="3309"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5"/>
              </w:numPr>
              <w:suppressLineNumbers w:val="0"/>
              <w:spacing w:before="0" w:beforeAutospacing="0" w:after="0" w:afterAutospacing="0" w:line="360" w:lineRule="auto"/>
              <w:ind w:left="0" w:right="0"/>
              <w:rPr>
                <w:rFonts w:hint="default" w:ascii="宋体" w:hAnsi="宋体" w:cs="Arial"/>
                <w:bCs/>
                <w:color w:val="auto"/>
                <w:kern w:val="0"/>
                <w:sz w:val="24"/>
                <w:szCs w:val="24"/>
                <w:highlight w:val="none"/>
              </w:rPr>
            </w:pPr>
            <w:r>
              <w:rPr>
                <w:rFonts w:hint="eastAsia" w:ascii="宋体" w:hAnsi="宋体" w:cs="Arial"/>
                <w:bCs/>
                <w:color w:val="auto"/>
                <w:kern w:val="0"/>
                <w:sz w:val="24"/>
                <w:szCs w:val="24"/>
                <w:highlight w:val="none"/>
              </w:rPr>
              <w:t>提供承诺：</w:t>
            </w:r>
            <w:r>
              <w:rPr>
                <w:rFonts w:hint="eastAsia" w:ascii="宋体" w:hAnsi="宋体" w:cs="Arial"/>
                <w:bCs/>
                <w:color w:val="auto"/>
                <w:kern w:val="0"/>
                <w:sz w:val="24"/>
                <w:szCs w:val="24"/>
                <w:highlight w:val="none"/>
                <w:lang w:val="en-US" w:eastAsia="zh-CN"/>
              </w:rPr>
              <w:t>2</w:t>
            </w:r>
            <w:r>
              <w:rPr>
                <w:rFonts w:hint="eastAsia" w:ascii="宋体" w:hAnsi="宋体" w:cs="Arial"/>
                <w:bCs/>
                <w:color w:val="auto"/>
                <w:kern w:val="0"/>
                <w:sz w:val="24"/>
                <w:szCs w:val="24"/>
                <w:highlight w:val="none"/>
              </w:rPr>
              <w:t>分</w:t>
            </w:r>
          </w:p>
          <w:p>
            <w:pPr>
              <w:keepNext w:val="0"/>
              <w:keepLines w:val="0"/>
              <w:numPr>
                <w:ilvl w:val="0"/>
                <w:numId w:val="5"/>
              </w:numPr>
              <w:suppressLineNumbers w:val="0"/>
              <w:spacing w:before="0" w:beforeAutospacing="0" w:after="0" w:afterAutospacing="0" w:line="360" w:lineRule="auto"/>
              <w:ind w:left="0" w:right="0"/>
              <w:rPr>
                <w:rFonts w:hint="eastAsia" w:ascii="宋体" w:hAnsi="宋体" w:cs="Arial" w:eastAsiaTheme="minorEastAsia"/>
                <w:bCs/>
                <w:color w:val="auto"/>
                <w:kern w:val="0"/>
                <w:sz w:val="24"/>
                <w:szCs w:val="24"/>
                <w:highlight w:val="none"/>
                <w:lang w:val="en-US" w:eastAsia="zh-CN" w:bidi="ar-SA"/>
              </w:rPr>
            </w:pPr>
            <w:r>
              <w:rPr>
                <w:rFonts w:hint="eastAsia" w:ascii="宋体" w:hAnsi="宋体" w:cs="Arial"/>
                <w:bCs/>
                <w:color w:val="auto"/>
                <w:kern w:val="0"/>
                <w:sz w:val="24"/>
                <w:szCs w:val="24"/>
                <w:highlight w:val="none"/>
              </w:rPr>
              <w:t>未提供承诺：0分</w:t>
            </w:r>
          </w:p>
        </w:tc>
        <w:tc>
          <w:tcPr>
            <w:tcW w:w="3155" w:type="dxa"/>
            <w:tcBorders>
              <w:top w:val="nil"/>
              <w:left w:val="single" w:color="auto" w:sz="4" w:space="0"/>
            </w:tcBorders>
          </w:tcPr>
          <w:p>
            <w:pPr>
              <w:keepNext w:val="0"/>
              <w:keepLines w:val="0"/>
              <w:suppressLineNumbers w:val="0"/>
              <w:spacing w:before="0" w:beforeAutospacing="0" w:after="0" w:afterAutospacing="0" w:line="360" w:lineRule="auto"/>
              <w:ind w:left="0" w:right="0"/>
              <w:rPr>
                <w:rFonts w:hint="eastAsia" w:asciiTheme="minorHAnsi" w:hAnsiTheme="minorHAnsi" w:eastAsiaTheme="minorEastAsia" w:cstheme="minorBidi"/>
                <w:color w:val="auto"/>
                <w:kern w:val="2"/>
                <w:sz w:val="24"/>
                <w:szCs w:val="24"/>
                <w:highlight w:val="none"/>
                <w:lang w:val="en-US" w:eastAsia="zh-CN" w:bidi="ar-SA"/>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numPr>
          <w:ilvl w:val="0"/>
          <w:numId w:val="0"/>
        </w:numPr>
        <w:tabs>
          <w:tab w:val="left" w:pos="463"/>
        </w:tabs>
        <w:spacing w:line="360" w:lineRule="auto"/>
        <w:rPr>
          <w:rFonts w:hint="default" w:asciiTheme="minorEastAsia" w:hAnsiTheme="minorEastAsia" w:eastAsiaTheme="minorEastAsia"/>
          <w:b/>
          <w:bCs/>
          <w:color w:val="FF0000"/>
          <w:sz w:val="24"/>
          <w:szCs w:val="24"/>
          <w:lang w:val="en-US" w:eastAsia="zh-CN"/>
        </w:rPr>
      </w:pPr>
      <w:r>
        <w:rPr>
          <w:rFonts w:hint="eastAsia" w:asciiTheme="minorEastAsia" w:hAnsiTheme="minorEastAsia"/>
          <w:b/>
          <w:bCs/>
          <w:sz w:val="24"/>
          <w:szCs w:val="24"/>
          <w:lang w:val="en-US" w:eastAsia="zh-CN"/>
        </w:rPr>
        <w:t>资格性审查表：</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pPr>
        <w:pStyle w:val="6"/>
        <w:rPr>
          <w:rFonts w:hint="eastAsia" w:ascii="宋体" w:hAnsi="宋体" w:eastAsia="宋体" w:cs="宋体"/>
          <w:b/>
          <w:bCs/>
          <w:sz w:val="28"/>
          <w:szCs w:val="28"/>
          <w:lang w:val="en-US" w:eastAsia="zh-CN"/>
        </w:rPr>
      </w:pPr>
    </w:p>
    <w:p>
      <w:pPr>
        <w:rPr>
          <w:rFonts w:hint="eastAsia" w:ascii="宋体" w:hAnsi="宋体" w:eastAsia="宋体" w:cs="宋体"/>
          <w:b/>
          <w:bCs/>
          <w:sz w:val="28"/>
          <w:szCs w:val="28"/>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所有页面均需加盖公章。开标时供应商需将投标所需资料胶印3份（一正两副），并密封携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both"/>
        <w:rPr>
          <w:rFonts w:hint="eastAsia" w:asciiTheme="minorEastAsia" w:hAnsiTheme="minorEastAsia"/>
          <w:b/>
          <w:bCs/>
          <w:sz w:val="32"/>
          <w:szCs w:val="32"/>
          <w:lang w:val="en-US" w:eastAsia="zh-CN"/>
        </w:rPr>
      </w:pPr>
    </w:p>
    <w:p>
      <w:pPr>
        <w:numPr>
          <w:ilvl w:val="0"/>
          <w:numId w:val="0"/>
        </w:numPr>
        <w:spacing w:line="360" w:lineRule="auto"/>
        <w:jc w:val="both"/>
        <w:rPr>
          <w:rFonts w:hint="eastAsia" w:asciiTheme="minorEastAsia" w:hAnsiTheme="minorEastAsia"/>
          <w:b/>
          <w:bCs/>
          <w:sz w:val="32"/>
          <w:szCs w:val="32"/>
          <w:lang w:val="en-US" w:eastAsia="zh-CN"/>
        </w:rPr>
      </w:pPr>
    </w:p>
    <w:p>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pPr>
        <w:numPr>
          <w:ilvl w:val="0"/>
          <w:numId w:val="6"/>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pPr>
        <w:numPr>
          <w:ilvl w:val="0"/>
          <w:numId w:val="6"/>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6"/>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pPr>
        <w:numPr>
          <w:ilvl w:val="0"/>
          <w:numId w:val="6"/>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6"/>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pPr>
        <w:pStyle w:val="3"/>
        <w:rPr>
          <w:rFonts w:hint="eastAsia"/>
          <w:color w:val="000000"/>
        </w:rPr>
      </w:pPr>
    </w:p>
    <w:p>
      <w:pPr>
        <w:rPr>
          <w:rFonts w:hint="eastAsia"/>
        </w:rPr>
      </w:pPr>
    </w:p>
    <w:p>
      <w:pPr>
        <w:pStyle w:val="3"/>
        <w:rPr>
          <w:rFonts w:hint="eastAsia"/>
          <w:color w:val="000000"/>
        </w:rPr>
      </w:pPr>
    </w:p>
    <w:p>
      <w:pPr>
        <w:pStyle w:val="3"/>
        <w:rPr>
          <w:color w:val="000000"/>
        </w:rPr>
      </w:pPr>
      <w:r>
        <w:rPr>
          <w:rFonts w:hint="eastAsia"/>
          <w:color w:val="000000"/>
        </w:rPr>
        <w:t>（封面）</w:t>
      </w:r>
      <w:bookmarkEnd w:id="0"/>
    </w:p>
    <w:p>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pPr>
        <w:rPr>
          <w:rFonts w:ascii="宋体" w:hAnsi="宋体"/>
          <w:b/>
          <w:bCs/>
          <w:color w:val="000000"/>
          <w:sz w:val="36"/>
          <w:szCs w:val="36"/>
        </w:rPr>
      </w:pPr>
      <w:r>
        <w:rPr>
          <w:rFonts w:hint="eastAsia" w:ascii="宋体" w:hAnsi="宋体" w:cs="宋体"/>
          <w:b/>
          <w:bCs/>
          <w:color w:val="000000"/>
          <w:sz w:val="36"/>
          <w:szCs w:val="36"/>
        </w:rPr>
        <w:t xml:space="preserve">          </w:t>
      </w:r>
    </w:p>
    <w:p>
      <w:pPr>
        <w:ind w:firstLine="1767" w:firstLineChars="400"/>
        <w:rPr>
          <w:rFonts w:ascii="宋体" w:hAnsi="宋体"/>
          <w:b/>
          <w:bCs/>
          <w:color w:val="000000"/>
          <w:sz w:val="44"/>
          <w:szCs w:val="44"/>
        </w:rPr>
      </w:pPr>
    </w:p>
    <w:p>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pPr>
        <w:pStyle w:val="16"/>
        <w:rPr>
          <w:rFonts w:hint="eastAsia" w:ascii="宋体" w:hAnsi="宋体" w:eastAsia="宋体" w:cs="宋体"/>
          <w:b w:val="0"/>
          <w:bCs w:val="0"/>
          <w:color w:val="000000"/>
          <w:kern w:val="2"/>
          <w:sz w:val="32"/>
          <w:szCs w:val="32"/>
          <w:lang w:val="en-US" w:eastAsia="zh-CN" w:bidi="ar-SA"/>
        </w:rPr>
      </w:pPr>
    </w:p>
    <w:p>
      <w:pPr>
        <w:rPr>
          <w:rFonts w:hint="eastAsia"/>
          <w:lang w:val="en-US" w:eastAsia="zh-CN"/>
        </w:rPr>
      </w:pPr>
    </w:p>
    <w:p>
      <w:pPr>
        <w:pStyle w:val="16"/>
        <w:rPr>
          <w:rFonts w:hint="eastAsia"/>
          <w:lang w:val="en-US" w:eastAsia="zh-CN"/>
        </w:rPr>
      </w:pP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w:t>
      </w:r>
      <w:r>
        <w:rPr>
          <w:rFonts w:hint="eastAsia" w:ascii="宋体" w:hAnsi="宋体" w:eastAsia="宋体" w:cs="宋体"/>
          <w:b w:val="0"/>
          <w:bCs w:val="0"/>
          <w:color w:val="000000"/>
          <w:kern w:val="2"/>
          <w:sz w:val="24"/>
          <w:szCs w:val="24"/>
          <w:lang w:val="en-US" w:eastAsia="zh-CN" w:bidi="ar-SA"/>
        </w:rPr>
        <w:t>.............................</w:t>
      </w:r>
    </w:p>
    <w:p>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十四、相关认证.......................</w:t>
      </w:r>
      <w:r>
        <w:rPr>
          <w:rFonts w:hint="eastAsia" w:ascii="宋体" w:hAnsi="宋体" w:eastAsia="宋体" w:cs="宋体"/>
          <w:b w:val="0"/>
          <w:bCs w:val="0"/>
          <w:color w:val="000000"/>
          <w:kern w:val="2"/>
          <w:sz w:val="24"/>
          <w:szCs w:val="24"/>
          <w:lang w:val="en-US" w:eastAsia="zh-CN" w:bidi="ar-SA"/>
        </w:rPr>
        <w:t>................................</w:t>
      </w:r>
    </w:p>
    <w:p>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十五、产品彩页.......................</w:t>
      </w:r>
      <w:r>
        <w:rPr>
          <w:rFonts w:hint="eastAsia" w:ascii="宋体" w:hAnsi="宋体" w:eastAsia="宋体" w:cs="宋体"/>
          <w:b w:val="0"/>
          <w:bCs w:val="0"/>
          <w:color w:val="000000"/>
          <w:kern w:val="2"/>
          <w:sz w:val="24"/>
          <w:szCs w:val="24"/>
          <w:lang w:val="en-US" w:eastAsia="zh-CN" w:bidi="ar-SA"/>
        </w:rPr>
        <w:t>................................</w:t>
      </w:r>
    </w:p>
    <w:p>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十六、产品配置清单...................</w:t>
      </w:r>
      <w:r>
        <w:rPr>
          <w:rFonts w:hint="eastAsia" w:ascii="宋体" w:hAnsi="宋体" w:eastAsia="宋体" w:cs="宋体"/>
          <w:b w:val="0"/>
          <w:bCs w:val="0"/>
          <w:color w:val="000000"/>
          <w:kern w:val="2"/>
          <w:sz w:val="24"/>
          <w:szCs w:val="24"/>
          <w:lang w:val="en-US" w:eastAsia="zh-CN" w:bidi="ar-SA"/>
        </w:rPr>
        <w:t>................................</w:t>
      </w:r>
    </w:p>
    <w:p>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十七、其他...........................</w:t>
      </w:r>
      <w:r>
        <w:rPr>
          <w:rFonts w:hint="eastAsia" w:ascii="宋体" w:hAnsi="宋体" w:eastAsia="宋体" w:cs="宋体"/>
          <w:b w:val="0"/>
          <w:bCs w:val="0"/>
          <w:color w:val="000000"/>
          <w:kern w:val="2"/>
          <w:sz w:val="24"/>
          <w:szCs w:val="24"/>
          <w:lang w:val="en-US" w:eastAsia="zh-CN" w:bidi="ar-SA"/>
        </w:rPr>
        <w:t>................................</w:t>
      </w: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pStyle w:val="11"/>
        <w:rPr>
          <w:rFonts w:hint="eastAsia"/>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caps w:val="0"/>
          <w:color w:val="auto"/>
          <w:spacing w:val="0"/>
          <w:sz w:val="24"/>
          <w:szCs w:val="24"/>
          <w:lang w:val="en-US" w:eastAsia="zh-CN"/>
        </w:rPr>
        <w:t>日期：   年    月    日</w:t>
      </w:r>
    </w:p>
    <w:p>
      <w:pPr>
        <w:numPr>
          <w:ilvl w:val="0"/>
          <w:numId w:val="7"/>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lang w:val="zh-CN"/>
        </w:rPr>
      </w:pPr>
    </w:p>
    <w:p>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pPr>
        <w:numPr>
          <w:ilvl w:val="0"/>
          <w:numId w:val="0"/>
        </w:numPr>
        <w:ind w:leftChars="0"/>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pPr>
        <w:jc w:val="center"/>
        <w:rPr>
          <w:rFonts w:hint="eastAsia" w:ascii="宋体" w:hAnsi="宋体" w:eastAsia="宋体"/>
          <w:sz w:val="24"/>
          <w:szCs w:val="24"/>
          <w:u w:val="none"/>
          <w:lang w:val="en-US" w:eastAsia="zh-CN"/>
        </w:rPr>
      </w:pPr>
    </w:p>
    <w:p>
      <w:pPr>
        <w:jc w:val="center"/>
        <w:rPr>
          <w:rFonts w:hint="eastAsia" w:ascii="宋体" w:hAnsi="宋体" w:eastAsia="宋体"/>
          <w:sz w:val="24"/>
          <w:szCs w:val="24"/>
          <w:u w:val="none"/>
          <w:lang w:val="en-US" w:eastAsia="zh-CN"/>
        </w:rPr>
      </w:pPr>
    </w:p>
    <w:p>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pPr>
        <w:rPr>
          <w:rFonts w:hint="eastAsia" w:ascii="宋体" w:hAnsi="宋体" w:eastAsia="宋体"/>
          <w:sz w:val="24"/>
          <w:szCs w:val="24"/>
          <w:u w:val="none"/>
          <w:lang w:val="en-US" w:eastAsia="zh-CN"/>
        </w:rPr>
      </w:pPr>
    </w:p>
    <w:p>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pPr>
        <w:ind w:firstLine="2400" w:firstLineChars="1000"/>
        <w:rPr>
          <w:rFonts w:hint="eastAsia" w:ascii="宋体" w:hAnsi="宋体" w:eastAsia="宋体"/>
          <w:sz w:val="24"/>
          <w:szCs w:val="24"/>
          <w:u w:val="none"/>
          <w:lang w:val="en-US" w:eastAsia="zh-CN"/>
        </w:rPr>
      </w:pPr>
    </w:p>
    <w:p>
      <w:pPr>
        <w:rPr>
          <w:rFonts w:hint="eastAsia" w:ascii="宋体" w:hAnsi="宋体" w:eastAsia="宋体"/>
          <w:sz w:val="24"/>
          <w:szCs w:val="24"/>
          <w:u w:val="none"/>
          <w:lang w:val="en-US" w:eastAsia="zh-CN"/>
        </w:rPr>
      </w:pPr>
    </w:p>
    <w:p>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numPr>
          <w:ilvl w:val="0"/>
          <w:numId w:val="8"/>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hint="default" w:ascii="宋体" w:hAnsi="宋体" w:eastAsia="宋体"/>
          <w:sz w:val="24"/>
          <w:szCs w:val="24"/>
          <w:u w:val="single"/>
          <w:lang w:val="en-US" w:eastAsia="zh-CN"/>
        </w:rPr>
      </w:pPr>
    </w:p>
    <w:p>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pPr>
        <w:keepNext w:val="0"/>
        <w:keepLines w:val="0"/>
        <w:pageBreakBefore w:val="0"/>
        <w:widowControl w:val="0"/>
        <w:numPr>
          <w:ilvl w:val="0"/>
          <w:numId w:val="9"/>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pPr>
        <w:keepNext w:val="0"/>
        <w:keepLines w:val="0"/>
        <w:pageBreakBefore w:val="0"/>
        <w:widowControl w:val="0"/>
        <w:numPr>
          <w:ilvl w:val="0"/>
          <w:numId w:val="9"/>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pPr>
        <w:numPr>
          <w:ilvl w:val="0"/>
          <w:numId w:val="0"/>
        </w:numPr>
        <w:spacing w:line="360" w:lineRule="auto"/>
        <w:ind w:leftChars="0"/>
        <w:jc w:val="both"/>
        <w:rPr>
          <w:rFonts w:ascii="宋体" w:hAnsi="宋体" w:eastAsia="宋体" w:cs="宋体"/>
          <w:b/>
          <w:bCs/>
          <w:color w:val="000000"/>
          <w:sz w:val="30"/>
          <w:szCs w:val="30"/>
        </w:rPr>
      </w:pP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十三、投标方案</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十四、系统架构、设计方案</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十五、数据库兼容性</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十六、系统集成能力</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十七、系统实施方案评价</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十八、系统培训方案</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十九、售后服务方案</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二十、管理体系</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二十一、知识产权</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二十二、综合实力</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二十三、案例评价</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二十四、驻场人员评价</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二十五、技术支持评价</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二十六、其他</w:t>
      </w:r>
    </w:p>
    <w:p>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1690EC92"/>
    <w:multiLevelType w:val="singleLevel"/>
    <w:tmpl w:val="1690EC92"/>
    <w:lvl w:ilvl="0" w:tentative="0">
      <w:start w:val="1"/>
      <w:numFmt w:val="decimal"/>
      <w:suff w:val="nothing"/>
      <w:lvlText w:val="（%1）"/>
      <w:lvlJc w:val="left"/>
    </w:lvl>
  </w:abstractNum>
  <w:abstractNum w:abstractNumId="5">
    <w:nsid w:val="20505FFF"/>
    <w:multiLevelType w:val="singleLevel"/>
    <w:tmpl w:val="20505FFF"/>
    <w:lvl w:ilvl="0" w:tentative="0">
      <w:start w:val="1"/>
      <w:numFmt w:val="decimal"/>
      <w:suff w:val="nothing"/>
      <w:lvlText w:val="（%1）"/>
      <w:lvlJc w:val="left"/>
    </w:lvl>
  </w:abstractNum>
  <w:abstractNum w:abstractNumId="6">
    <w:nsid w:val="24827B98"/>
    <w:multiLevelType w:val="singleLevel"/>
    <w:tmpl w:val="24827B98"/>
    <w:lvl w:ilvl="0" w:tentative="0">
      <w:start w:val="3"/>
      <w:numFmt w:val="chineseCounting"/>
      <w:suff w:val="nothing"/>
      <w:lvlText w:val="%1、"/>
      <w:lvlJc w:val="left"/>
      <w:rPr>
        <w:rFonts w:hint="eastAsia"/>
      </w:rPr>
    </w:lvl>
  </w:abstractNum>
  <w:abstractNum w:abstractNumId="7">
    <w:nsid w:val="507C43D6"/>
    <w:multiLevelType w:val="singleLevel"/>
    <w:tmpl w:val="507C43D6"/>
    <w:lvl w:ilvl="0" w:tentative="0">
      <w:start w:val="1"/>
      <w:numFmt w:val="decimal"/>
      <w:suff w:val="nothing"/>
      <w:lvlText w:val="（%1）"/>
      <w:lvlJc w:val="left"/>
    </w:lvl>
  </w:abstractNum>
  <w:abstractNum w:abstractNumId="8">
    <w:nsid w:val="5C6A04CC"/>
    <w:multiLevelType w:val="singleLevel"/>
    <w:tmpl w:val="5C6A04CC"/>
    <w:lvl w:ilvl="0" w:tentative="0">
      <w:start w:val="1"/>
      <w:numFmt w:val="chineseCounting"/>
      <w:suff w:val="space"/>
      <w:lvlText w:val="第%1章"/>
      <w:lvlJc w:val="left"/>
      <w:rPr>
        <w:rFonts w:hint="eastAsia"/>
      </w:rPr>
    </w:lvl>
  </w:abstractNum>
  <w:num w:numId="1">
    <w:abstractNumId w:val="8"/>
  </w:num>
  <w:num w:numId="2">
    <w:abstractNumId w:val="6"/>
  </w:num>
  <w:num w:numId="3">
    <w:abstractNumId w:val="5"/>
  </w:num>
  <w:num w:numId="4">
    <w:abstractNumId w:val="4"/>
  </w:num>
  <w:num w:numId="5">
    <w:abstractNumId w:val="7"/>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6DF7684"/>
    <w:rsid w:val="07B6496C"/>
    <w:rsid w:val="07C64EDC"/>
    <w:rsid w:val="08A96CC2"/>
    <w:rsid w:val="08DB2790"/>
    <w:rsid w:val="090D0F93"/>
    <w:rsid w:val="09C33906"/>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4F95F38"/>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C903A3"/>
    <w:rsid w:val="60541B24"/>
    <w:rsid w:val="60FD7482"/>
    <w:rsid w:val="61A56138"/>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C6456A"/>
    <w:rsid w:val="6F6367E4"/>
    <w:rsid w:val="6F6F075E"/>
    <w:rsid w:val="72103AF2"/>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5"/>
    <w:autoRedefine/>
    <w:qFormat/>
    <w:uiPriority w:val="0"/>
    <w:rPr>
      <w:rFonts w:hint="eastAsia" w:ascii="宋体" w:hAnsi="宋体" w:eastAsia="宋体" w:cs="宋体"/>
      <w:color w:val="000000"/>
      <w:sz w:val="21"/>
      <w:szCs w:val="21"/>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character" w:customStyle="1" w:styleId="25">
    <w:name w:val="font41"/>
    <w:basedOn w:val="15"/>
    <w:autoRedefine/>
    <w:qFormat/>
    <w:uiPriority w:val="0"/>
    <w:rPr>
      <w:rFonts w:hint="default" w:ascii="Times New Roman" w:hAnsi="Times New Roman" w:cs="Times New Roman"/>
      <w:color w:val="000000"/>
      <w:sz w:val="24"/>
      <w:szCs w:val="24"/>
      <w:u w:val="none"/>
    </w:rPr>
  </w:style>
  <w:style w:type="character" w:customStyle="1" w:styleId="26">
    <w:name w:val="font31"/>
    <w:basedOn w:val="15"/>
    <w:autoRedefine/>
    <w:qFormat/>
    <w:uiPriority w:val="0"/>
    <w:rPr>
      <w:rFonts w:ascii="等线" w:hAnsi="等线" w:eastAsia="等线" w:cs="等线"/>
      <w:color w:val="000000"/>
      <w:sz w:val="24"/>
      <w:szCs w:val="24"/>
      <w:u w:val="none"/>
    </w:rPr>
  </w:style>
  <w:style w:type="character" w:customStyle="1" w:styleId="27">
    <w:name w:val="font61"/>
    <w:basedOn w:val="15"/>
    <w:autoRedefine/>
    <w:qFormat/>
    <w:uiPriority w:val="0"/>
    <w:rPr>
      <w:rFonts w:hint="default" w:ascii="Times New Roman" w:hAnsi="Times New Roman" w:cs="Times New Roman"/>
      <w:color w:val="000000"/>
      <w:sz w:val="24"/>
      <w:szCs w:val="24"/>
      <w:u w:val="none"/>
    </w:rPr>
  </w:style>
  <w:style w:type="paragraph" w:styleId="28">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9">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20185</Words>
  <Characters>21823</Characters>
  <Lines>1</Lines>
  <Paragraphs>1</Paragraphs>
  <TotalTime>63</TotalTime>
  <ScaleCrop>false</ScaleCrop>
  <LinksUpToDate>false</LinksUpToDate>
  <CharactersWithSpaces>22280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安于現狀╮</cp:lastModifiedBy>
  <cp:lastPrinted>2022-08-05T00:37:00Z</cp:lastPrinted>
  <dcterms:modified xsi:type="dcterms:W3CDTF">2024-06-24T02:32:52Z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1378EDF7B8A74253939DB0BBA29EE504_13</vt:lpwstr>
  </property>
</Properties>
</file>